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461C79B9" w:rsidR="00522861" w:rsidRPr="001A5F3A"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1A5F3A">
        <w:rPr>
          <w:rFonts w:ascii="Arial" w:hAnsi="Arial" w:cs="Arial"/>
          <w:b/>
          <w:bCs/>
          <w:snapToGrid w:val="0"/>
          <w:lang w:val="en-GB"/>
        </w:rPr>
        <w:t>11</w:t>
      </w:r>
      <w:r w:rsidR="002B1B24">
        <w:rPr>
          <w:rFonts w:ascii="Arial" w:hAnsi="Arial" w:cs="Arial"/>
          <w:b/>
          <w:bCs/>
          <w:snapToGrid w:val="0"/>
          <w:lang w:val="en-GB"/>
        </w:rPr>
        <w:t>2</w:t>
      </w:r>
      <w:r w:rsidR="00C70CD1">
        <w:rPr>
          <w:rFonts w:ascii="Arial" w:hAnsi="Arial" w:cs="Arial"/>
          <w:b/>
          <w:bCs/>
          <w:snapToGrid w:val="0"/>
          <w:lang w:val="en-GB"/>
        </w:rPr>
        <w:t>bis-e</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7F7726" w:rsidRPr="00957B21">
        <w:rPr>
          <w:rFonts w:ascii="Arial" w:hAnsi="Arial" w:cs="Arial"/>
          <w:b/>
          <w:bCs/>
          <w:snapToGrid w:val="0"/>
        </w:rPr>
        <w:t>2</w:t>
      </w:r>
      <w:r w:rsidR="007F7726">
        <w:rPr>
          <w:rFonts w:ascii="Arial" w:hAnsi="Arial" w:cs="Arial"/>
          <w:b/>
          <w:bCs/>
          <w:snapToGrid w:val="0"/>
        </w:rPr>
        <w:t>3</w:t>
      </w:r>
      <w:r w:rsidR="008817A2">
        <w:rPr>
          <w:rFonts w:ascii="Arial" w:hAnsi="Arial" w:cs="Arial"/>
          <w:b/>
          <w:bCs/>
          <w:snapToGrid w:val="0"/>
        </w:rPr>
        <w:t>03068</w:t>
      </w:r>
    </w:p>
    <w:p w14:paraId="5217CEF5" w14:textId="5FC55C1A" w:rsidR="00522861" w:rsidRPr="006A0944" w:rsidRDefault="00C70CD1" w:rsidP="00522861">
      <w:pPr>
        <w:pBdr>
          <w:bottom w:val="single" w:sz="12" w:space="1" w:color="auto"/>
        </w:pBdr>
        <w:spacing w:line="240" w:lineRule="atLeast"/>
        <w:rPr>
          <w:rFonts w:ascii="Arial" w:hAnsi="Arial" w:cs="Arial"/>
          <w:b/>
          <w:bCs/>
          <w:snapToGrid w:val="0"/>
        </w:rPr>
      </w:pPr>
      <w:r>
        <w:rPr>
          <w:rFonts w:ascii="Arial" w:hAnsi="Arial" w:cs="Arial"/>
          <w:b/>
          <w:bCs/>
          <w:snapToGrid w:val="0"/>
          <w:lang w:val="en-GB"/>
        </w:rPr>
        <w:t>e-Meeting</w:t>
      </w:r>
      <w:r w:rsidR="001A5F3A">
        <w:rPr>
          <w:rFonts w:ascii="Arial" w:hAnsi="Arial" w:cs="Arial"/>
          <w:b/>
          <w:bCs/>
          <w:snapToGrid w:val="0"/>
          <w:lang w:val="en-GB"/>
        </w:rPr>
        <w:t xml:space="preserve">, </w:t>
      </w:r>
      <w:r>
        <w:rPr>
          <w:rFonts w:ascii="Arial" w:hAnsi="Arial" w:cs="Arial"/>
          <w:b/>
          <w:bCs/>
          <w:snapToGrid w:val="0"/>
          <w:lang w:val="en-GB"/>
        </w:rPr>
        <w:t>April</w:t>
      </w:r>
      <w:r w:rsidR="00522861" w:rsidRPr="00957B21">
        <w:rPr>
          <w:rFonts w:ascii="Arial" w:hAnsi="Arial" w:cs="Arial"/>
          <w:b/>
          <w:bCs/>
          <w:snapToGrid w:val="0"/>
          <w:lang w:val="en-GB"/>
        </w:rPr>
        <w:t xml:space="preserve"> </w:t>
      </w:r>
      <w:r>
        <w:rPr>
          <w:rFonts w:ascii="Arial" w:hAnsi="Arial" w:cs="Arial"/>
          <w:b/>
          <w:bCs/>
          <w:snapToGrid w:val="0"/>
          <w:lang w:val="en-GB"/>
        </w:rPr>
        <w:t>1</w:t>
      </w:r>
      <w:r w:rsidR="002B1B24">
        <w:rPr>
          <w:rFonts w:ascii="Arial" w:hAnsi="Arial" w:cs="Arial"/>
          <w:b/>
          <w:bCs/>
          <w:snapToGrid w:val="0"/>
          <w:lang w:val="en-GB"/>
        </w:rPr>
        <w:t>7</w:t>
      </w:r>
      <w:r w:rsidR="006502ED">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xml:space="preserve"> – </w:t>
      </w:r>
      <w:r>
        <w:rPr>
          <w:rFonts w:ascii="Arial" w:eastAsia="MS Mincho" w:hAnsi="Arial" w:cs="Arial"/>
          <w:b/>
          <w:bCs/>
          <w:lang w:val="en-GB" w:eastAsia="ja-JP"/>
        </w:rPr>
        <w:t>April</w:t>
      </w:r>
      <w:r w:rsidR="002B1B24">
        <w:rPr>
          <w:rFonts w:ascii="Arial" w:eastAsia="MS Mincho" w:hAnsi="Arial" w:cs="Arial"/>
          <w:b/>
          <w:bCs/>
          <w:lang w:val="en-GB" w:eastAsia="ja-JP"/>
        </w:rPr>
        <w:t xml:space="preserve"> </w:t>
      </w:r>
      <w:r>
        <w:rPr>
          <w:rFonts w:ascii="Arial" w:eastAsia="MS Mincho" w:hAnsi="Arial" w:cs="Arial"/>
          <w:b/>
          <w:bCs/>
          <w:lang w:val="en-GB" w:eastAsia="ja-JP"/>
        </w:rPr>
        <w:t>26</w:t>
      </w:r>
      <w:r w:rsidRPr="00C70CD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w:t>
      </w:r>
      <w:r w:rsidR="002B1B24">
        <w:rPr>
          <w:rFonts w:ascii="Arial" w:eastAsia="MS Mincho" w:hAnsi="Arial" w:cs="Arial"/>
          <w:b/>
          <w:bCs/>
          <w:lang w:val="en-GB" w:eastAsia="ja-JP"/>
        </w:rPr>
        <w:t>3</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15993C82" w:rsidR="004A0DEB" w:rsidRPr="00D949A0" w:rsidRDefault="004A0DEB" w:rsidP="001A5F3A">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001A5F3A">
        <w:rPr>
          <w:rFonts w:ascii="Times New Roman" w:hAnsi="Times New Roman"/>
        </w:rPr>
        <w:t>LG Electronics</w:t>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33977">
            <w:pPr>
              <w:numPr>
                <w:ilvl w:val="1"/>
                <w:numId w:val="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33977">
            <w:pPr>
              <w:numPr>
                <w:ilvl w:val="2"/>
                <w:numId w:val="1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33977">
            <w:pPr>
              <w:numPr>
                <w:ilvl w:val="1"/>
                <w:numId w:val="11"/>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030E4216"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sidR="00AE539B">
        <w:rPr>
          <w:b w:val="0"/>
          <w:sz w:val="22"/>
          <w:lang w:val="en-US"/>
        </w:rPr>
        <w:t xml:space="preserve">the </w:t>
      </w:r>
      <w:r>
        <w:rPr>
          <w:b w:val="0"/>
          <w:sz w:val="22"/>
          <w:lang w:val="en-US"/>
        </w:rPr>
        <w:t>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08A9BA45"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2CBE2888"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8B59B5">
        <w:rPr>
          <w:rFonts w:hint="eastAsia"/>
          <w:b w:val="0"/>
          <w:sz w:val="22"/>
          <w:lang w:val="en-US"/>
        </w:rPr>
        <w:t>1</w:t>
      </w:r>
      <w:r w:rsidR="008B59B5">
        <w:rPr>
          <w:b w:val="0"/>
          <w:sz w:val="22"/>
          <w:lang w:val="en-US"/>
        </w:rPr>
        <w:t>1</w:t>
      </w:r>
      <w:r w:rsidR="00AE539B">
        <w:rPr>
          <w:b w:val="0"/>
          <w:sz w:val="22"/>
          <w:lang w:val="en-US"/>
        </w:rPr>
        <w:t>1</w:t>
      </w:r>
      <w:r>
        <w:rPr>
          <w:rFonts w:hint="eastAsia"/>
          <w:b w:val="0"/>
          <w:sz w:val="22"/>
          <w:lang w:val="en-US"/>
        </w:rPr>
        <w:t xml:space="preserve">, </w:t>
      </w:r>
      <w:r w:rsidR="00AA425A">
        <w:rPr>
          <w:b w:val="0"/>
          <w:sz w:val="22"/>
          <w:lang w:val="en-US"/>
        </w:rPr>
        <w:t xml:space="preserve">TCI state </w:t>
      </w:r>
      <w:r w:rsidR="00132F4C">
        <w:rPr>
          <w:b w:val="0"/>
          <w:sz w:val="22"/>
          <w:lang w:val="en-US"/>
        </w:rPr>
        <w:t>indication method</w:t>
      </w:r>
      <w:r w:rsidR="00AA425A">
        <w:rPr>
          <w:b w:val="0"/>
          <w:sz w:val="22"/>
          <w:lang w:val="en-US"/>
        </w:rPr>
        <w:t xml:space="preserve"> for S-DCI based MTRP in one beam indication instance was agreed as shown below. </w:t>
      </w:r>
    </w:p>
    <w:tbl>
      <w:tblPr>
        <w:tblStyle w:val="ad"/>
        <w:tblW w:w="0" w:type="auto"/>
        <w:tblLook w:val="04A0" w:firstRow="1" w:lastRow="0" w:firstColumn="1" w:lastColumn="0" w:noHBand="0" w:noVBand="1"/>
      </w:tblPr>
      <w:tblGrid>
        <w:gridCol w:w="9017"/>
      </w:tblGrid>
      <w:tr w:rsidR="00163C91" w14:paraId="47CC2E6A" w14:textId="38F82B6D" w:rsidTr="00163C91">
        <w:tc>
          <w:tcPr>
            <w:tcW w:w="9017" w:type="dxa"/>
          </w:tcPr>
          <w:p w14:paraId="6A409598" w14:textId="77777777" w:rsidR="00AA425A" w:rsidRPr="00AA425A" w:rsidRDefault="00AA425A" w:rsidP="00AA425A">
            <w:pPr>
              <w:overflowPunct w:val="0"/>
              <w:autoSpaceDE w:val="0"/>
              <w:autoSpaceDN w:val="0"/>
              <w:adjustRightInd w:val="0"/>
              <w:textAlignment w:val="baseline"/>
              <w:rPr>
                <w:rFonts w:ascii="Times New Roman" w:eastAsia="바탕" w:hAnsi="Times New Roman" w:cs="Times New Roman"/>
                <w:b/>
                <w:bCs/>
                <w:color w:val="000000"/>
                <w:sz w:val="20"/>
                <w:szCs w:val="18"/>
                <w:lang w:val="en-GB" w:eastAsia="ja-JP"/>
              </w:rPr>
            </w:pPr>
            <w:r w:rsidRPr="00AA425A">
              <w:rPr>
                <w:rFonts w:ascii="Times New Roman" w:eastAsia="Times New Roman" w:hAnsi="Times New Roman" w:cs="Times New Roman"/>
                <w:b/>
                <w:bCs/>
                <w:color w:val="000000"/>
                <w:sz w:val="20"/>
                <w:szCs w:val="18"/>
                <w:highlight w:val="green"/>
                <w:lang w:val="en-GB" w:eastAsia="ja-JP"/>
              </w:rPr>
              <w:t>Agreement</w:t>
            </w:r>
          </w:p>
          <w:p w14:paraId="1106AA9E" w14:textId="10CA5106" w:rsidR="008B59B5" w:rsidRPr="00F744B0" w:rsidRDefault="00AA425A" w:rsidP="008B59B5">
            <w:pPr>
              <w:tabs>
                <w:tab w:val="left" w:pos="0"/>
              </w:tabs>
              <w:suppressAutoHyphens/>
              <w:spacing w:after="160" w:line="259" w:lineRule="auto"/>
              <w:contextualSpacing/>
              <w:rPr>
                <w:b/>
                <w:sz w:val="22"/>
              </w:rPr>
            </w:pPr>
            <w:r w:rsidRPr="00AA425A">
              <w:rPr>
                <w:rFonts w:ascii="Times New Roman" w:eastAsia="Times New Roman" w:hAnsi="Times New Roman" w:cs="Times New Roman"/>
                <w:color w:val="000000"/>
                <w:sz w:val="20"/>
                <w:szCs w:val="18"/>
                <w:lang w:val="en-GB" w:eastAsia="ja-JP"/>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tc>
      </w:tr>
    </w:tbl>
    <w:p w14:paraId="0FDEBE06" w14:textId="6A7E0FCA" w:rsidR="00A21AD1" w:rsidRDefault="00AA425A" w:rsidP="00A21AD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 xml:space="preserve">Based on this, </w:t>
      </w:r>
      <w:r>
        <w:rPr>
          <w:rFonts w:hint="eastAsia"/>
          <w:b w:val="0"/>
          <w:sz w:val="22"/>
          <w:lang w:val="en-US"/>
        </w:rPr>
        <w:t>the combinations of joint/DL/UL TCI states</w:t>
      </w:r>
      <w:r w:rsidR="00132F4C">
        <w:rPr>
          <w:b w:val="0"/>
          <w:sz w:val="22"/>
          <w:lang w:val="en-US"/>
        </w:rPr>
        <w:t xml:space="preserve"> for TCI codepoint mapping</w:t>
      </w:r>
      <w:r>
        <w:rPr>
          <w:rFonts w:hint="eastAsia"/>
          <w:b w:val="0"/>
          <w:sz w:val="22"/>
          <w:lang w:val="en-US"/>
        </w:rPr>
        <w:t xml:space="preserve"> was </w:t>
      </w:r>
      <w:r w:rsidR="001F60BA">
        <w:rPr>
          <w:b w:val="0"/>
          <w:sz w:val="22"/>
          <w:lang w:val="en-US"/>
        </w:rPr>
        <w:t xml:space="preserve">also </w:t>
      </w:r>
      <w:r>
        <w:rPr>
          <w:rFonts w:hint="eastAsia"/>
          <w:b w:val="0"/>
          <w:sz w:val="22"/>
          <w:lang w:val="en-US"/>
        </w:rPr>
        <w:t>discussed</w:t>
      </w:r>
      <w:r w:rsidR="001F60BA">
        <w:rPr>
          <w:b w:val="0"/>
          <w:sz w:val="22"/>
          <w:lang w:val="en-US"/>
        </w:rPr>
        <w:t xml:space="preserve"> </w:t>
      </w:r>
      <w:r w:rsidR="00132F4C">
        <w:rPr>
          <w:b w:val="0"/>
          <w:sz w:val="22"/>
          <w:lang w:val="en-US"/>
        </w:rPr>
        <w:t xml:space="preserve">including how to support dynamic switching between STRP and MTRP. There was </w:t>
      </w:r>
      <w:r w:rsidR="004C3D61">
        <w:rPr>
          <w:b w:val="0"/>
          <w:sz w:val="22"/>
          <w:lang w:val="en-US"/>
        </w:rPr>
        <w:t xml:space="preserve">discussion </w:t>
      </w:r>
      <w:r w:rsidR="00132F4C">
        <w:rPr>
          <w:b w:val="0"/>
          <w:sz w:val="22"/>
          <w:lang w:val="en-US"/>
        </w:rPr>
        <w:t xml:space="preserve">on </w:t>
      </w:r>
      <w:r w:rsidR="004C3D61">
        <w:rPr>
          <w:b w:val="0"/>
          <w:sz w:val="22"/>
          <w:lang w:val="en-US"/>
        </w:rPr>
        <w:t xml:space="preserve">whether </w:t>
      </w:r>
      <w:r w:rsidR="004C3D61" w:rsidRPr="004C3D61">
        <w:rPr>
          <w:b w:val="0"/>
          <w:sz w:val="22"/>
          <w:lang w:val="en-US"/>
        </w:rPr>
        <w:t>the switching between STRP and MTRP can depend on the number of TCI states indicated in a beam indication DCI</w:t>
      </w:r>
      <w:r w:rsidR="001F60BA">
        <w:rPr>
          <w:b w:val="0"/>
          <w:sz w:val="22"/>
          <w:lang w:val="en-US"/>
        </w:rPr>
        <w:t>.</w:t>
      </w:r>
      <w:r w:rsidR="003E337B">
        <w:rPr>
          <w:b w:val="0"/>
          <w:sz w:val="22"/>
          <w:lang w:val="en-US"/>
        </w:rPr>
        <w:t xml:space="preserve"> </w:t>
      </w:r>
      <w:r w:rsidR="004C3D61">
        <w:rPr>
          <w:b w:val="0"/>
          <w:sz w:val="22"/>
          <w:lang w:val="en-US"/>
        </w:rPr>
        <w:t xml:space="preserve">In our view, it is unnecessary to tie the number of indicated TCI states in one beam indication instance with the transmission mode because NW can indicate same TCI state even with M/N=2 for STRP operation. </w:t>
      </w:r>
      <w:r w:rsidR="00D24873">
        <w:rPr>
          <w:b w:val="0"/>
          <w:sz w:val="22"/>
          <w:lang w:val="en-US"/>
        </w:rPr>
        <w:t xml:space="preserve">Instead, </w:t>
      </w:r>
      <w:r w:rsidR="002805C9">
        <w:rPr>
          <w:rFonts w:hint="eastAsia"/>
          <w:b w:val="0"/>
          <w:sz w:val="22"/>
          <w:lang w:val="en-US"/>
        </w:rPr>
        <w:t xml:space="preserve">as </w:t>
      </w:r>
      <w:r w:rsidR="002805C9">
        <w:rPr>
          <w:b w:val="0"/>
          <w:sz w:val="22"/>
          <w:lang w:val="en-US"/>
        </w:rPr>
        <w:t xml:space="preserve">discussed in the last meeting, </w:t>
      </w:r>
      <w:r w:rsidR="00D24873">
        <w:rPr>
          <w:b w:val="0"/>
          <w:sz w:val="22"/>
          <w:lang w:val="en-US"/>
        </w:rPr>
        <w:t>a full-set or any sub-set of TCI states can be mapped to a TCI codepoint of the existing TCI field in a DCI format 1_1/1_2. Then, when the sub-set of TCI states is indicated to a UE, the UE can update the corresponding TCI state in the subset and keep</w:t>
      </w:r>
      <w:r w:rsidR="003863D9">
        <w:rPr>
          <w:b w:val="0"/>
          <w:sz w:val="22"/>
          <w:lang w:val="en-US"/>
        </w:rPr>
        <w:t xml:space="preserve"> the</w:t>
      </w:r>
      <w:r w:rsidR="00D24873">
        <w:rPr>
          <w:b w:val="0"/>
          <w:sz w:val="22"/>
          <w:lang w:val="en-US"/>
        </w:rPr>
        <w:t xml:space="preserve"> current TCI state </w:t>
      </w:r>
      <w:r w:rsidR="003863D9">
        <w:rPr>
          <w:b w:val="0"/>
          <w:sz w:val="22"/>
          <w:lang w:val="en-US"/>
        </w:rPr>
        <w:t>for the other sub-set of TCI states</w:t>
      </w:r>
      <w:r w:rsidR="00D24873">
        <w:rPr>
          <w:b w:val="0"/>
          <w:sz w:val="22"/>
          <w:lang w:val="en-US"/>
        </w:rPr>
        <w:t xml:space="preserve">. This leads flexible TCI applicability and </w:t>
      </w:r>
      <w:r w:rsidR="003863D9">
        <w:rPr>
          <w:b w:val="0"/>
          <w:sz w:val="22"/>
          <w:lang w:val="en-US"/>
        </w:rPr>
        <w:t xml:space="preserve">also supports </w:t>
      </w:r>
      <w:r w:rsidR="001D4BD8">
        <w:rPr>
          <w:b w:val="0"/>
          <w:sz w:val="22"/>
          <w:lang w:val="en-US"/>
        </w:rPr>
        <w:t xml:space="preserve">dynamic STRP/MTRP switching, e.g. via </w:t>
      </w:r>
      <w:r w:rsidR="003863D9">
        <w:rPr>
          <w:b w:val="0"/>
          <w:sz w:val="22"/>
          <w:lang w:val="en-US"/>
        </w:rPr>
        <w:t>indicating same TCI state for all subsets</w:t>
      </w:r>
      <w:r w:rsidR="001D4BD8">
        <w:rPr>
          <w:b w:val="0"/>
          <w:sz w:val="22"/>
          <w:lang w:val="en-US"/>
        </w:rPr>
        <w:t xml:space="preserve">. </w:t>
      </w:r>
      <w:r w:rsidR="004C3D61">
        <w:rPr>
          <w:b w:val="0"/>
          <w:sz w:val="22"/>
          <w:lang w:val="en-US"/>
        </w:rPr>
        <w:t>In addition, especially for non-ideal backhaul, each TRP can manage its beam with separate beam indication command so that it is not preferred to overwrite one TCI indication from TRP#0 into the other TCI for TRP#1.</w:t>
      </w:r>
    </w:p>
    <w:p w14:paraId="2635FC99" w14:textId="522DC634" w:rsidR="00AA425A" w:rsidRPr="00A21AD1" w:rsidRDefault="00AA425A" w:rsidP="00AA425A">
      <w:pPr>
        <w:pStyle w:val="LGTdoc1"/>
        <w:snapToGrid/>
        <w:spacing w:beforeLines="0" w:before="100" w:beforeAutospacing="1" w:after="0" w:afterAutospacing="0" w:line="360" w:lineRule="auto"/>
        <w:contextualSpacing/>
        <w:rPr>
          <w:b w:val="0"/>
          <w:sz w:val="22"/>
          <w:lang w:val="en-US"/>
        </w:rPr>
      </w:pPr>
    </w:p>
    <w:p w14:paraId="29767548" w14:textId="5E1131F3" w:rsidR="00F6219E" w:rsidRPr="007F7726" w:rsidRDefault="00571E91" w:rsidP="007F7726">
      <w:pPr>
        <w:pStyle w:val="LGTdoc1"/>
        <w:snapToGrid/>
        <w:spacing w:beforeLines="0" w:before="100" w:beforeAutospacing="1" w:after="0" w:afterAutospacing="0" w:line="360" w:lineRule="auto"/>
        <w:contextualSpacing/>
        <w:rPr>
          <w:sz w:val="24"/>
          <w:lang w:val="pt-BR"/>
        </w:rPr>
      </w:pPr>
      <w:r w:rsidRPr="007F7726">
        <w:rPr>
          <w:rFonts w:hint="eastAsia"/>
          <w:sz w:val="24"/>
          <w:lang w:val="en-US"/>
        </w:rPr>
        <w:t>Proposal #</w:t>
      </w:r>
      <w:r w:rsidR="007F7726" w:rsidRPr="007F7726">
        <w:rPr>
          <w:sz w:val="24"/>
          <w:lang w:val="en-US"/>
        </w:rPr>
        <w:t>1</w:t>
      </w:r>
      <w:r w:rsidRPr="007F7726">
        <w:rPr>
          <w:rFonts w:hint="eastAsia"/>
          <w:sz w:val="24"/>
          <w:lang w:val="en-US"/>
        </w:rPr>
        <w:t xml:space="preserve">: </w:t>
      </w:r>
      <w:r w:rsidR="00F6219E" w:rsidRPr="007F7726">
        <w:rPr>
          <w:sz w:val="24"/>
          <w:lang w:val="en-US"/>
        </w:rPr>
        <w:t xml:space="preserve">For S-DCI based MTRP, </w:t>
      </w:r>
      <w:r w:rsidR="004C3D61" w:rsidRPr="007F7726">
        <w:rPr>
          <w:sz w:val="24"/>
          <w:lang w:val="en-US"/>
        </w:rPr>
        <w:t xml:space="preserve">if a sub-set of TCI states for one TRP is indicated in a beam indication instance, the TCI states </w:t>
      </w:r>
      <w:r w:rsidR="0065558C" w:rsidRPr="007F7726">
        <w:rPr>
          <w:sz w:val="24"/>
          <w:lang w:val="en-US"/>
        </w:rPr>
        <w:t xml:space="preserve">not </w:t>
      </w:r>
      <w:r w:rsidR="004C3D61" w:rsidRPr="007F7726">
        <w:rPr>
          <w:sz w:val="24"/>
          <w:lang w:val="en-US"/>
        </w:rPr>
        <w:t>in the sub-set</w:t>
      </w:r>
      <w:r w:rsidR="0065558C" w:rsidRPr="007F7726">
        <w:rPr>
          <w:sz w:val="24"/>
          <w:lang w:val="en-US"/>
        </w:rPr>
        <w:t xml:space="preserve"> for other TRP</w:t>
      </w:r>
      <w:r w:rsidR="004C3D61" w:rsidRPr="007F7726">
        <w:rPr>
          <w:sz w:val="24"/>
          <w:lang w:val="en-US"/>
        </w:rPr>
        <w:t xml:space="preserve"> shall be maintained. </w:t>
      </w:r>
    </w:p>
    <w:p w14:paraId="39018000" w14:textId="77777777" w:rsidR="00163C91" w:rsidRPr="00A1125F" w:rsidRDefault="00163C91" w:rsidP="00163C91">
      <w:pPr>
        <w:spacing w:before="240" w:after="180"/>
        <w:jc w:val="both"/>
        <w:rPr>
          <w:rFonts w:ascii="Times New Roman" w:hAnsi="Times New Roman" w:cs="Times New Roman"/>
          <w:b/>
        </w:rPr>
      </w:pPr>
    </w:p>
    <w:p w14:paraId="09985340" w14:textId="07EE899E" w:rsidR="00163C91" w:rsidRPr="00A1125F" w:rsidRDefault="00163C91" w:rsidP="00163C91">
      <w:pPr>
        <w:pStyle w:val="2"/>
        <w:rPr>
          <w:rFonts w:ascii="Times New Roman" w:hAnsi="Times New Roman" w:cs="Times New Roman"/>
          <w:i w:val="0"/>
        </w:rPr>
      </w:pPr>
      <w:r>
        <w:rPr>
          <w:rFonts w:ascii="Times New Roman" w:hAnsi="Times New Roman" w:cs="Times New Roman"/>
          <w:i w:val="0"/>
        </w:rPr>
        <w:t>Mapping the TCI state(s) to target channels/RSs</w:t>
      </w:r>
    </w:p>
    <w:p w14:paraId="33BE6A29" w14:textId="0ED1698E" w:rsidR="00163C91" w:rsidRDefault="00163C91" w:rsidP="00163C91">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1D4BD8">
        <w:rPr>
          <w:rFonts w:hint="eastAsia"/>
          <w:b w:val="0"/>
          <w:sz w:val="22"/>
          <w:lang w:val="en-US"/>
        </w:rPr>
        <w:t>1</w:t>
      </w:r>
      <w:r w:rsidR="001D4BD8">
        <w:rPr>
          <w:b w:val="0"/>
          <w:sz w:val="22"/>
          <w:lang w:val="en-US"/>
        </w:rPr>
        <w:t>12</w:t>
      </w:r>
      <w:r>
        <w:rPr>
          <w:rFonts w:hint="eastAsia"/>
          <w:b w:val="0"/>
          <w:sz w:val="22"/>
          <w:lang w:val="en-US"/>
        </w:rPr>
        <w:t xml:space="preserve">, </w:t>
      </w:r>
      <w:r>
        <w:rPr>
          <w:b w:val="0"/>
          <w:sz w:val="22"/>
          <w:lang w:val="en-US"/>
        </w:rPr>
        <w:t>the</w:t>
      </w:r>
      <w:r w:rsidR="006E0E79">
        <w:rPr>
          <w:b w:val="0"/>
          <w:sz w:val="22"/>
          <w:lang w:val="en-US"/>
        </w:rPr>
        <w:t xml:space="preserve">re </w:t>
      </w:r>
      <w:r w:rsidR="00ED0408">
        <w:rPr>
          <w:b w:val="0"/>
          <w:sz w:val="22"/>
          <w:lang w:val="en-US"/>
        </w:rPr>
        <w:t xml:space="preserve">were </w:t>
      </w:r>
      <w:r>
        <w:rPr>
          <w:b w:val="0"/>
          <w:sz w:val="22"/>
          <w:lang w:val="en-US"/>
        </w:rPr>
        <w:t>agreement</w:t>
      </w:r>
      <w:r w:rsidR="00ED0408">
        <w:rPr>
          <w:b w:val="0"/>
          <w:sz w:val="22"/>
          <w:lang w:val="en-US"/>
        </w:rPr>
        <w:t>s</w:t>
      </w:r>
      <w:r>
        <w:rPr>
          <w:b w:val="0"/>
          <w:sz w:val="22"/>
          <w:lang w:val="en-US"/>
        </w:rPr>
        <w:t xml:space="preserve"> on </w:t>
      </w:r>
      <w:r w:rsidR="009D3F9C">
        <w:rPr>
          <w:b w:val="0"/>
          <w:sz w:val="22"/>
          <w:lang w:val="en-US"/>
        </w:rPr>
        <w:t xml:space="preserve">mapping/association between indicated/configured TCI states and target channels/RSs for </w:t>
      </w:r>
      <w:r w:rsidR="00D57DC8">
        <w:rPr>
          <w:b w:val="0"/>
          <w:sz w:val="22"/>
          <w:lang w:val="en-US"/>
        </w:rPr>
        <w:t>M-DCI/</w:t>
      </w:r>
      <w:r>
        <w:rPr>
          <w:b w:val="0"/>
          <w:sz w:val="22"/>
          <w:lang w:val="en-US"/>
        </w:rPr>
        <w:t>S-DCI based MTRP as follows.</w:t>
      </w:r>
    </w:p>
    <w:tbl>
      <w:tblPr>
        <w:tblStyle w:val="ad"/>
        <w:tblW w:w="0" w:type="auto"/>
        <w:tblLook w:val="04A0" w:firstRow="1" w:lastRow="0" w:firstColumn="1" w:lastColumn="0" w:noHBand="0" w:noVBand="1"/>
      </w:tblPr>
      <w:tblGrid>
        <w:gridCol w:w="9017"/>
      </w:tblGrid>
      <w:tr w:rsidR="00163C91" w14:paraId="7868A07A" w14:textId="77777777" w:rsidTr="001530E9">
        <w:tc>
          <w:tcPr>
            <w:tcW w:w="9017" w:type="dxa"/>
          </w:tcPr>
          <w:p w14:paraId="00B85FA5" w14:textId="25E23366" w:rsidR="000F279C" w:rsidRPr="000F279C" w:rsidRDefault="000F279C" w:rsidP="000F279C">
            <w:pPr>
              <w:jc w:val="both"/>
              <w:rPr>
                <w:rFonts w:ascii="Times New Roman" w:eastAsia="바탕" w:hAnsi="Times New Roman" w:cs="Times New Roman"/>
                <w:b/>
                <w:bCs/>
                <w:color w:val="000000"/>
                <w:sz w:val="20"/>
                <w:szCs w:val="18"/>
              </w:rPr>
            </w:pPr>
            <w:r w:rsidRPr="000F279C">
              <w:rPr>
                <w:rFonts w:ascii="Times New Roman" w:hAnsi="Times New Roman" w:hint="eastAsia"/>
                <w:b/>
                <w:bCs/>
                <w:color w:val="000000"/>
                <w:sz w:val="20"/>
                <w:szCs w:val="18"/>
                <w:highlight w:val="green"/>
              </w:rPr>
              <w:t>A</w:t>
            </w:r>
            <w:r w:rsidRPr="000F279C">
              <w:rPr>
                <w:rFonts w:ascii="Times New Roman" w:hAnsi="Times New Roman"/>
                <w:b/>
                <w:bCs/>
                <w:color w:val="000000"/>
                <w:sz w:val="20"/>
                <w:szCs w:val="18"/>
                <w:highlight w:val="green"/>
              </w:rPr>
              <w:t>greement</w:t>
            </w:r>
            <w:r w:rsidRPr="000F279C">
              <w:rPr>
                <w:rFonts w:ascii="Times New Roman" w:hAnsi="Times New Roman"/>
                <w:b/>
                <w:bCs/>
                <w:color w:val="000000"/>
                <w:sz w:val="20"/>
                <w:szCs w:val="18"/>
              </w:rPr>
              <w:t xml:space="preserve"> (S-DCI PDSCH)</w:t>
            </w:r>
          </w:p>
          <w:p w14:paraId="6F8D4E87" w14:textId="77777777" w:rsidR="001D4BD8" w:rsidRPr="001D4BD8" w:rsidRDefault="001D4BD8" w:rsidP="001D4BD8">
            <w:pPr>
              <w:jc w:val="both"/>
              <w:rPr>
                <w:rFonts w:ascii="Times" w:eastAsia="바탕" w:hAnsi="Times" w:cs="Times"/>
                <w:color w:val="000000"/>
                <w:sz w:val="20"/>
                <w:szCs w:val="20"/>
                <w:lang w:val="en-GB" w:eastAsia="en-US"/>
              </w:rPr>
            </w:pPr>
            <w:r w:rsidRPr="001D4BD8">
              <w:rPr>
                <w:rFonts w:ascii="Times" w:eastAsia="바탕" w:hAnsi="Times" w:cs="Times"/>
                <w:color w:val="000000"/>
                <w:sz w:val="20"/>
                <w:szCs w:val="20"/>
                <w:lang w:val="en-GB" w:eastAsia="zh-CN"/>
              </w:rPr>
              <w:t xml:space="preserve">On unified TCI framework extension for S-DCI based MTRP, a 2-bit [TCI selection field] can be configured by RRC to be present </w:t>
            </w:r>
            <w:r w:rsidRPr="001D4BD8">
              <w:rPr>
                <w:rFonts w:ascii="Times" w:eastAsia="바탕" w:hAnsi="Times" w:cs="Times"/>
                <w:color w:val="000000"/>
                <w:sz w:val="20"/>
                <w:szCs w:val="20"/>
                <w:lang w:val="en-GB" w:eastAsia="en-US"/>
              </w:rPr>
              <w:t>in a DCI format 1_1/1_2 that schedules/activates PDSCH reception (including dynamic PDSCH and SPS PDSCH) according to the followings:</w:t>
            </w:r>
          </w:p>
          <w:p w14:paraId="1B0A90A6"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F5BF0AA"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052CAB17"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1_1/1_2 indicates codepoint "10" for the [TCI selection field], the UE shall apply both indicated joint/DL TCI states to the PDSCH reception scheduled/activated by the DCI format 1_1/1_2</w:t>
            </w:r>
          </w:p>
          <w:p w14:paraId="1DAC3240"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FFS: Whether and how to use the codepoint "11" of the [TCI selection field]</w:t>
            </w:r>
          </w:p>
          <w:p w14:paraId="7210911F" w14:textId="77777777" w:rsidR="001D4BD8" w:rsidRPr="001D4BD8" w:rsidRDefault="001D4BD8" w:rsidP="001D4BD8">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t xml:space="preserve">If the UE is in FR1, or the UE supports the capability of two default beams for S-DCI based MTRP in FR2 regardless of threshold, above apply to PDSCH reception(s) scheduled/activated by the DCI format 1_1/1_2. </w:t>
            </w:r>
          </w:p>
          <w:p w14:paraId="009C443B"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Note: If the UE supports the capability of two default beams for S-DCI based MTRP in FR2, UE uses both indicated joint/DL TCI states to buffer the received signal before a threshold.</w:t>
            </w:r>
          </w:p>
          <w:p w14:paraId="05F2498E" w14:textId="77777777" w:rsidR="001D4BD8" w:rsidRPr="001D4BD8" w:rsidRDefault="001D4BD8" w:rsidP="001D4BD8">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AFC6FF4"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lastRenderedPageBreak/>
              <w:t>FFS: How to apply the indicated joint/DL TCI state(s) to the scheduled/activated PDSCH reception if the offset between the reception of the scheduling DCI format 1_1/1_2 and the scheduled/activated PDSCH reception is less than a threshold in FR2</w:t>
            </w:r>
          </w:p>
          <w:p w14:paraId="015FBECA" w14:textId="77777777" w:rsidR="001D4BD8" w:rsidRPr="001D4BD8" w:rsidRDefault="001D4BD8" w:rsidP="001D4BD8">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t xml:space="preserve">FFS: Detail of the capability of two default beams for S-DCI based MTRP </w:t>
            </w:r>
          </w:p>
          <w:p w14:paraId="5127091F" w14:textId="77777777" w:rsidR="001D4BD8" w:rsidRPr="001D4BD8" w:rsidRDefault="001D4BD8" w:rsidP="001D4BD8">
            <w:pPr>
              <w:snapToGrid w:val="0"/>
              <w:rPr>
                <w:rFonts w:ascii="Times" w:eastAsia="바탕" w:hAnsi="Times" w:cs="Times"/>
                <w:sz w:val="20"/>
                <w:szCs w:val="20"/>
                <w:lang w:val="en-GB" w:eastAsia="en-US"/>
              </w:rPr>
            </w:pPr>
            <w:r w:rsidRPr="001D4BD8">
              <w:rPr>
                <w:rFonts w:ascii="Times" w:eastAsia="바탕" w:hAnsi="Times" w:cs="Times"/>
                <w:sz w:val="20"/>
                <w:szCs w:val="20"/>
                <w:lang w:val="en-GB" w:eastAsia="en-US"/>
              </w:rPr>
              <w:t>FFS: The threshold value</w:t>
            </w:r>
          </w:p>
          <w:p w14:paraId="17370B93" w14:textId="77777777" w:rsidR="00EA5B03" w:rsidRDefault="00EA5B03" w:rsidP="000F279C">
            <w:pPr>
              <w:rPr>
                <w:rFonts w:ascii="Times New Roman" w:hAnsi="Times New Roman"/>
                <w:b/>
                <w:bCs/>
                <w:color w:val="000000"/>
                <w:sz w:val="20"/>
                <w:szCs w:val="18"/>
                <w:highlight w:val="green"/>
              </w:rPr>
            </w:pPr>
          </w:p>
          <w:p w14:paraId="42AF34EE" w14:textId="11CA4147" w:rsidR="000F279C" w:rsidRDefault="00EA5B03" w:rsidP="000F279C">
            <w:pPr>
              <w:rPr>
                <w:rFonts w:ascii="Times New Roman" w:hAnsi="Times New Roman"/>
                <w:b/>
                <w:bCs/>
                <w:color w:val="000000"/>
                <w:sz w:val="20"/>
                <w:szCs w:val="18"/>
              </w:rPr>
            </w:pPr>
            <w:r w:rsidRPr="000F279C">
              <w:rPr>
                <w:rFonts w:ascii="Times New Roman" w:hAnsi="Times New Roman" w:hint="eastAsia"/>
                <w:b/>
                <w:bCs/>
                <w:color w:val="000000"/>
                <w:sz w:val="20"/>
                <w:szCs w:val="18"/>
                <w:highlight w:val="green"/>
              </w:rPr>
              <w:t>A</w:t>
            </w:r>
            <w:r w:rsidRPr="000F279C">
              <w:rPr>
                <w:rFonts w:ascii="Times New Roman" w:hAnsi="Times New Roman"/>
                <w:b/>
                <w:bCs/>
                <w:color w:val="000000"/>
                <w:sz w:val="20"/>
                <w:szCs w:val="18"/>
                <w:highlight w:val="green"/>
              </w:rPr>
              <w:t>greement</w:t>
            </w:r>
            <w:r w:rsidRPr="000F279C">
              <w:rPr>
                <w:rFonts w:ascii="Times New Roman" w:hAnsi="Times New Roman"/>
                <w:b/>
                <w:bCs/>
                <w:color w:val="000000"/>
                <w:sz w:val="20"/>
                <w:szCs w:val="18"/>
              </w:rPr>
              <w:t xml:space="preserve"> (S-DCI PDSCH)</w:t>
            </w:r>
          </w:p>
          <w:p w14:paraId="1EA3F466" w14:textId="77777777" w:rsidR="00EA5B03" w:rsidRPr="00EA5B03" w:rsidRDefault="00EA5B03" w:rsidP="00EA5B03">
            <w:pPr>
              <w:jc w:val="both"/>
              <w:rPr>
                <w:rFonts w:ascii="Times New Roman" w:eastAsia="바탕" w:hAnsi="Times New Roman" w:cs="Times New Roman"/>
                <w:color w:val="000000"/>
                <w:sz w:val="20"/>
                <w:szCs w:val="20"/>
                <w:lang w:val="en-GB" w:eastAsia="zh-CN"/>
              </w:rPr>
            </w:pPr>
            <w:r w:rsidRPr="00EA5B03">
              <w:rPr>
                <w:rFonts w:ascii="Times New Roman" w:eastAsia="바탕" w:hAnsi="Times New Roman" w:cs="Times New Roman"/>
                <w:color w:val="000000"/>
                <w:sz w:val="20"/>
                <w:szCs w:val="20"/>
                <w:lang w:val="en-GB" w:eastAsia="zh-CN"/>
              </w:rPr>
              <w:t xml:space="preserve">On unified TCI framework extension for S-DCI based MTRP, down-select </w:t>
            </w:r>
            <w:r w:rsidRPr="00EA5B03">
              <w:rPr>
                <w:rFonts w:ascii="Times New Roman" w:eastAsia="바탕" w:hAnsi="Times New Roman" w:cs="Times New Roman" w:hint="eastAsia"/>
                <w:color w:val="000000"/>
                <w:sz w:val="20"/>
                <w:szCs w:val="20"/>
                <w:lang w:val="en-GB" w:eastAsia="en-US"/>
              </w:rPr>
              <w:t>a</w:t>
            </w:r>
            <w:r w:rsidRPr="00EA5B03">
              <w:rPr>
                <w:rFonts w:ascii="Times New Roman" w:eastAsia="바탕" w:hAnsi="Times New Roman" w:cs="Times New Roman"/>
                <w:color w:val="000000"/>
                <w:sz w:val="20"/>
                <w:szCs w:val="20"/>
                <w:lang w:val="en-GB" w:eastAsia="en-US"/>
              </w:rPr>
              <w:t xml:space="preserve">t least </w:t>
            </w:r>
            <w:r w:rsidRPr="00EA5B03">
              <w:rPr>
                <w:rFonts w:ascii="Times New Roman" w:eastAsia="바탕" w:hAnsi="Times New Roman" w:cs="Times New Roman"/>
                <w:color w:val="000000"/>
                <w:sz w:val="20"/>
                <w:szCs w:val="20"/>
                <w:lang w:val="en-GB" w:eastAsia="zh-CN"/>
              </w:rPr>
              <w:t>one of the followings for PDSCH reception scheduled/activated by DCI format 1_1/1_2 configured w/o the [TCI selection field]:</w:t>
            </w:r>
          </w:p>
          <w:p w14:paraId="12E3B31E" w14:textId="77777777" w:rsidR="00EA5B03" w:rsidRPr="00EA5B03" w:rsidRDefault="00EA5B03" w:rsidP="00EA5B03">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color w:val="000000"/>
                <w:sz w:val="20"/>
                <w:szCs w:val="20"/>
                <w:lang w:val="en-GB" w:eastAsia="x-none"/>
              </w:rPr>
              <w:t>Alt1: Using RRC configuration to inform that the UE shall apply the first one, the second one, or both of two</w:t>
            </w:r>
            <w:r w:rsidRPr="00EA5B03">
              <w:rPr>
                <w:rFonts w:ascii="Times New Roman" w:eastAsia="바탕" w:hAnsi="Times New Roman" w:cs="Times New Roman" w:hint="eastAsia"/>
                <w:color w:val="000000"/>
                <w:sz w:val="20"/>
                <w:szCs w:val="20"/>
                <w:lang w:val="en-GB" w:eastAsia="x-none"/>
              </w:rPr>
              <w:t xml:space="preserve"> </w:t>
            </w:r>
            <w:r w:rsidRPr="00EA5B03">
              <w:rPr>
                <w:rFonts w:ascii="Times New Roman" w:eastAsia="바탕" w:hAnsi="Times New Roman" w:cs="Times New Roman"/>
                <w:color w:val="000000"/>
                <w:sz w:val="20"/>
                <w:szCs w:val="20"/>
                <w:lang w:val="en-GB" w:eastAsia="x-none"/>
              </w:rPr>
              <w:t>indicated joint/DL TCI states to the scheduled/activated PDSCH reception</w:t>
            </w:r>
          </w:p>
          <w:p w14:paraId="445B3301" w14:textId="77777777" w:rsidR="00EA5B03" w:rsidRPr="00EA5B03" w:rsidRDefault="00EA5B03" w:rsidP="00EA5B03">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color w:val="000000"/>
                <w:sz w:val="20"/>
                <w:szCs w:val="20"/>
                <w:lang w:val="en-GB" w:eastAsia="x-none"/>
              </w:rPr>
              <w:t>Alt2: The UE shall apply the first one of two indicated joint/DL TCI state(s) to the scheduled/activated PDSCH reception</w:t>
            </w:r>
          </w:p>
          <w:p w14:paraId="79C09489" w14:textId="77777777" w:rsidR="00EA5B03" w:rsidRPr="00EA5B03" w:rsidRDefault="00EA5B03" w:rsidP="00EA5B03">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color w:val="000000"/>
                <w:sz w:val="20"/>
                <w:szCs w:val="20"/>
                <w:lang w:val="en-GB" w:eastAsia="x-none"/>
              </w:rPr>
              <w:t>Alt3: The UE shall apply both of two indicated joint/DL TCI states to the scheduled/activated PDSCH reception</w:t>
            </w:r>
          </w:p>
          <w:p w14:paraId="6C0F508A" w14:textId="77777777" w:rsidR="00EA5B03" w:rsidRPr="00EA5B03" w:rsidRDefault="00EA5B03" w:rsidP="00EA5B03">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hint="eastAsia"/>
                <w:color w:val="000000"/>
                <w:sz w:val="20"/>
                <w:szCs w:val="20"/>
                <w:lang w:val="en-GB" w:eastAsia="x-none"/>
              </w:rPr>
              <w:t>A</w:t>
            </w:r>
            <w:r w:rsidRPr="00EA5B03">
              <w:rPr>
                <w:rFonts w:ascii="Times New Roman" w:eastAsia="바탕" w:hAnsi="Times New Roman" w:cs="Times New Roman"/>
                <w:color w:val="000000"/>
                <w:sz w:val="20"/>
                <w:szCs w:val="20"/>
                <w:lang w:val="en-GB" w:eastAsia="x-none"/>
              </w:rPr>
              <w:t>lt3A: The UE shall apply the same joint/DL TCI state(s) that is applied to the PDCCH reception with the scheduling/activation DCI to the scheduled/activated PDSCH reception</w:t>
            </w:r>
          </w:p>
          <w:p w14:paraId="2291B93E" w14:textId="77777777" w:rsidR="00EA5B03" w:rsidRPr="00EA5B03" w:rsidRDefault="00EA5B03" w:rsidP="00EA5B03">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EA5B03">
              <w:rPr>
                <w:rFonts w:ascii="Times New Roman" w:eastAsia="바탕" w:hAnsi="Times New Roman" w:cs="Times New Roman" w:hint="eastAsia"/>
                <w:color w:val="000000"/>
                <w:sz w:val="20"/>
                <w:szCs w:val="20"/>
                <w:lang w:val="en-GB" w:eastAsia="x-none"/>
              </w:rPr>
              <w:t>A</w:t>
            </w:r>
            <w:r w:rsidRPr="00EA5B03">
              <w:rPr>
                <w:rFonts w:ascii="Times New Roman" w:eastAsia="바탕" w:hAnsi="Times New Roman" w:cs="Times New Roman"/>
                <w:color w:val="000000"/>
                <w:sz w:val="20"/>
                <w:szCs w:val="20"/>
                <w:lang w:val="en-GB" w:eastAsia="x-none"/>
              </w:rPr>
              <w:t>lt4: Which indicated joint/DL TCI state(s) is/are applied to the scheduled/activated PDSCH reception is determined according to the existing TCI field</w:t>
            </w:r>
            <w:r w:rsidRPr="00EA5B03">
              <w:rPr>
                <w:rFonts w:ascii="Times New Roman" w:eastAsia="바탕" w:hAnsi="Times New Roman" w:cs="Times New Roman" w:hint="eastAsia"/>
                <w:color w:val="000000"/>
                <w:sz w:val="20"/>
                <w:szCs w:val="20"/>
                <w:lang w:val="en-GB" w:eastAsia="x-none"/>
              </w:rPr>
              <w:t xml:space="preserve"> </w:t>
            </w:r>
            <w:r w:rsidRPr="00EA5B03">
              <w:rPr>
                <w:rFonts w:ascii="Times New Roman" w:eastAsia="바탕" w:hAnsi="Times New Roman" w:cs="Times New Roman"/>
                <w:color w:val="FF0000"/>
                <w:sz w:val="20"/>
                <w:szCs w:val="20"/>
                <w:lang w:val="en-GB" w:eastAsia="x-none"/>
              </w:rPr>
              <w:t xml:space="preserve">of the most recently applied </w:t>
            </w:r>
            <w:r w:rsidRPr="00EA5B03">
              <w:rPr>
                <w:rFonts w:ascii="Times New Roman" w:eastAsia="PMingLiU" w:hAnsi="Times New Roman" w:cs="Times New Roman" w:hint="eastAsia"/>
                <w:color w:val="FF0000"/>
                <w:sz w:val="20"/>
                <w:szCs w:val="20"/>
                <w:lang w:val="en-GB" w:eastAsia="zh-TW"/>
              </w:rPr>
              <w:t>b</w:t>
            </w:r>
            <w:r w:rsidRPr="00EA5B03">
              <w:rPr>
                <w:rFonts w:ascii="Times New Roman" w:eastAsia="PMingLiU" w:hAnsi="Times New Roman" w:cs="Times New Roman"/>
                <w:color w:val="FF0000"/>
                <w:sz w:val="20"/>
                <w:szCs w:val="20"/>
                <w:lang w:val="en-GB" w:eastAsia="zh-TW"/>
              </w:rPr>
              <w:t>eam indication</w:t>
            </w:r>
            <w:r w:rsidRPr="00EA5B03">
              <w:rPr>
                <w:rFonts w:ascii="Times New Roman" w:eastAsia="바탕" w:hAnsi="Times New Roman" w:cs="Times New Roman"/>
                <w:color w:val="FF0000"/>
                <w:sz w:val="20"/>
                <w:szCs w:val="20"/>
                <w:lang w:val="en-GB" w:eastAsia="x-none"/>
              </w:rPr>
              <w:t xml:space="preserve"> DCI</w:t>
            </w:r>
          </w:p>
          <w:p w14:paraId="4B7C43C8" w14:textId="77777777" w:rsidR="00EA5B03" w:rsidRPr="00EA5B03" w:rsidRDefault="00EA5B03" w:rsidP="00EA5B03">
            <w:pPr>
              <w:widowControl w:val="0"/>
              <w:autoSpaceDE w:val="0"/>
              <w:autoSpaceDN w:val="0"/>
              <w:adjustRightInd w:val="0"/>
              <w:jc w:val="both"/>
              <w:rPr>
                <w:rFonts w:ascii="Times New Roman" w:eastAsia="바탕" w:hAnsi="Times New Roman" w:cs="Times New Roman"/>
                <w:color w:val="000000"/>
                <w:sz w:val="20"/>
                <w:szCs w:val="20"/>
                <w:lang w:val="en-GB" w:eastAsia="en-US"/>
              </w:rPr>
            </w:pPr>
            <w:r w:rsidRPr="00EA5B03">
              <w:rPr>
                <w:rFonts w:ascii="Times New Roman" w:eastAsia="바탕" w:hAnsi="Times New Roman" w:cs="Times New Roman"/>
                <w:color w:val="000000"/>
                <w:sz w:val="20"/>
                <w:szCs w:val="20"/>
                <w:lang w:val="en-GB" w:eastAsia="en-US"/>
              </w:rPr>
              <w:t>Above applies at least if the offset between the reception of the scheduling DCI format 1_1/1_2 and the scheduled/activated PDSCH reception is equal to or larger than a threshold (if the threshold is needed)</w:t>
            </w:r>
          </w:p>
          <w:p w14:paraId="35C3C485" w14:textId="77777777" w:rsidR="00EA5B03" w:rsidRPr="00EA5B03" w:rsidRDefault="00EA5B03" w:rsidP="000F279C">
            <w:pPr>
              <w:rPr>
                <w:rStyle w:val="a5"/>
                <w:rFonts w:ascii="Times New Roman" w:hAnsi="Times New Roman"/>
                <w:color w:val="000000"/>
                <w:sz w:val="20"/>
                <w:szCs w:val="18"/>
                <w:lang w:val="en-GB"/>
              </w:rPr>
            </w:pPr>
          </w:p>
          <w:p w14:paraId="1E43865F" w14:textId="2244A0D4" w:rsidR="000F279C" w:rsidRPr="000F279C" w:rsidRDefault="000F279C" w:rsidP="000F279C">
            <w:pPr>
              <w:jc w:val="both"/>
              <w:rPr>
                <w:rFonts w:ascii="Times New Roman" w:eastAsia="바탕" w:hAnsi="Times New Roman" w:cs="Times New Roman"/>
                <w:b/>
                <w:bCs/>
                <w:color w:val="000000"/>
                <w:sz w:val="20"/>
                <w:szCs w:val="18"/>
                <w:highlight w:val="green"/>
              </w:rPr>
            </w:pPr>
            <w:r w:rsidRPr="000F279C">
              <w:rPr>
                <w:rFonts w:ascii="Times New Roman" w:hAnsi="Times New Roman" w:cs="Times New Roman"/>
                <w:b/>
                <w:bCs/>
                <w:color w:val="000000"/>
                <w:sz w:val="20"/>
                <w:szCs w:val="18"/>
                <w:highlight w:val="green"/>
              </w:rPr>
              <w:t>Agreement</w:t>
            </w:r>
            <w:r w:rsidRPr="000F279C">
              <w:rPr>
                <w:rFonts w:ascii="Times New Roman" w:hAnsi="Times New Roman" w:cs="Times New Roman"/>
                <w:b/>
                <w:bCs/>
                <w:color w:val="000000"/>
                <w:sz w:val="20"/>
                <w:szCs w:val="18"/>
              </w:rPr>
              <w:t xml:space="preserve"> </w:t>
            </w:r>
            <w:r w:rsidRPr="000F279C">
              <w:rPr>
                <w:rFonts w:ascii="Times New Roman" w:hAnsi="Times New Roman"/>
                <w:b/>
                <w:bCs/>
                <w:color w:val="000000"/>
                <w:sz w:val="20"/>
                <w:szCs w:val="18"/>
              </w:rPr>
              <w:t>(S-DCI PUSCH)</w:t>
            </w:r>
          </w:p>
          <w:p w14:paraId="0534965C" w14:textId="77777777" w:rsidR="001D4BD8" w:rsidRPr="001D4BD8" w:rsidRDefault="001D4BD8" w:rsidP="001D4BD8">
            <w:pPr>
              <w:widowControl w:val="0"/>
              <w:autoSpaceDE w:val="0"/>
              <w:autoSpaceDN w:val="0"/>
              <w:adjustRightInd w:val="0"/>
              <w:jc w:val="both"/>
              <w:rPr>
                <w:rFonts w:ascii="Times" w:eastAsia="바탕" w:hAnsi="Times" w:cs="Times"/>
                <w:color w:val="000000"/>
                <w:sz w:val="20"/>
                <w:szCs w:val="20"/>
                <w:lang w:val="en-GB" w:eastAsia="zh-CN"/>
              </w:rPr>
            </w:pPr>
            <w:r w:rsidRPr="001D4BD8">
              <w:rPr>
                <w:rFonts w:ascii="Times" w:eastAsia="바탕" w:hAnsi="Times" w:cs="Times"/>
                <w:color w:val="000000"/>
                <w:sz w:val="20"/>
                <w:szCs w:val="20"/>
                <w:lang w:val="en-GB" w:eastAsia="zh-CN"/>
              </w:rPr>
              <w:t xml:space="preserve">On unified TCI framework extension for S-DCI based MTRP, </w:t>
            </w:r>
            <w:r w:rsidRPr="001D4BD8">
              <w:rPr>
                <w:rFonts w:ascii="Times" w:eastAsia="SimSun" w:hAnsi="Times" w:cs="Times"/>
                <w:sz w:val="20"/>
                <w:szCs w:val="20"/>
                <w:lang w:val="en-GB" w:eastAsia="zh-CN"/>
              </w:rPr>
              <w:t xml:space="preserve">when two SRS resource sets for CB/NCB are configured, support the followings for PUSCH transmission </w:t>
            </w:r>
            <w:r w:rsidRPr="001D4BD8">
              <w:rPr>
                <w:rFonts w:ascii="Times" w:eastAsia="바탕" w:hAnsi="Times" w:cs="Times"/>
                <w:color w:val="000000"/>
                <w:sz w:val="20"/>
                <w:szCs w:val="20"/>
                <w:lang w:val="en-GB" w:eastAsia="zh-CN"/>
              </w:rPr>
              <w:t>scheduled/activated by a DCI format 0_1/0_2 (including DG and Type2 CG):</w:t>
            </w:r>
          </w:p>
          <w:p w14:paraId="4D78F02F"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0_1/0_2 indicates codepoint "00" for the existing SRS resource set indicator, the UE shall apply the first indicated joint/UL TCI state to all PUSCH antenna port(s) of corresponding PUSCH transmission occasions(s)</w:t>
            </w:r>
          </w:p>
          <w:p w14:paraId="33A30DB9"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0_1/0_2 indicates codepoint "01" for the existing SRS resource set indicator, the UE shall apply the second indicated joint/UL TCI state to all PUSCH antenna port(s) of corresponding PUSCH transmission occasions(s)</w:t>
            </w:r>
          </w:p>
          <w:p w14:paraId="11523319" w14:textId="77777777" w:rsidR="001D4BD8" w:rsidRPr="001D4BD8" w:rsidRDefault="001D4BD8" w:rsidP="001D4BD8">
            <w:pPr>
              <w:numPr>
                <w:ilvl w:val="0"/>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If the DCI format 0_1/0_2 indicates codepoint "10" or “11” for the existing SRS resource set indicator:</w:t>
            </w:r>
          </w:p>
          <w:p w14:paraId="197F0519" w14:textId="77777777" w:rsidR="001D4BD8" w:rsidRPr="001D4BD8" w:rsidRDefault="001D4BD8" w:rsidP="001D4BD8">
            <w:pPr>
              <w:numPr>
                <w:ilvl w:val="1"/>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8F360B5" w14:textId="77777777" w:rsidR="001D4BD8" w:rsidRPr="001D4BD8" w:rsidRDefault="001D4BD8" w:rsidP="001D4BD8">
            <w:pPr>
              <w:numPr>
                <w:ilvl w:val="1"/>
                <w:numId w:val="40"/>
              </w:numPr>
              <w:tabs>
                <w:tab w:val="left" w:pos="314"/>
                <w:tab w:val="left" w:pos="720"/>
              </w:tabs>
              <w:suppressAutoHyphens/>
              <w:overflowPunct w:val="0"/>
              <w:autoSpaceDE w:val="0"/>
              <w:autoSpaceDN w:val="0"/>
              <w:adjustRightInd w:val="0"/>
              <w:snapToGrid w:val="0"/>
              <w:spacing w:after="180"/>
              <w:contextualSpacing/>
              <w:textAlignment w:val="baseline"/>
              <w:rPr>
                <w:rFonts w:ascii="Times" w:eastAsia="바탕" w:hAnsi="Times" w:cs="Times"/>
                <w:color w:val="000000"/>
                <w:sz w:val="20"/>
                <w:szCs w:val="20"/>
                <w:lang w:val="en-GB" w:eastAsia="x-none"/>
              </w:rPr>
            </w:pPr>
            <w:r w:rsidRPr="001D4BD8">
              <w:rPr>
                <w:rFonts w:ascii="Times" w:eastAsia="바탕" w:hAnsi="Times" w:cs="Times"/>
                <w:color w:val="000000"/>
                <w:sz w:val="20"/>
                <w:szCs w:val="20"/>
                <w:lang w:val="en-GB" w:eastAsia="x-none"/>
              </w:rPr>
              <w:t>FFS: SDM and SFN based PUSCH Tx schemes</w:t>
            </w:r>
          </w:p>
          <w:p w14:paraId="6BD1C450" w14:textId="77777777" w:rsidR="001D4BD8" w:rsidRPr="001D4BD8" w:rsidRDefault="001D4BD8" w:rsidP="001D4BD8">
            <w:pPr>
              <w:rPr>
                <w:rFonts w:ascii="Times" w:eastAsia="바탕" w:hAnsi="Times" w:cs="Times"/>
                <w:color w:val="000000"/>
                <w:sz w:val="20"/>
                <w:szCs w:val="20"/>
                <w:lang w:val="en-GB" w:eastAsia="zh-CN"/>
              </w:rPr>
            </w:pPr>
            <w:r w:rsidRPr="001D4BD8">
              <w:rPr>
                <w:rFonts w:ascii="Times" w:eastAsia="바탕" w:hAnsi="Times" w:cs="Times"/>
                <w:color w:val="000000"/>
                <w:sz w:val="20"/>
                <w:szCs w:val="20"/>
                <w:lang w:val="en-GB" w:eastAsia="en-US"/>
              </w:rPr>
              <w:t xml:space="preserve">FFS: </w:t>
            </w:r>
            <w:r w:rsidRPr="001D4BD8">
              <w:rPr>
                <w:rFonts w:ascii="Times" w:eastAsia="바탕" w:hAnsi="Times" w:cs="Times"/>
                <w:color w:val="000000"/>
                <w:sz w:val="20"/>
                <w:szCs w:val="20"/>
                <w:lang w:val="en-GB"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6195DDE0" w14:textId="77777777" w:rsidR="001D4BD8" w:rsidRPr="000F279C" w:rsidRDefault="001D4BD8" w:rsidP="00D57DC8">
            <w:pPr>
              <w:rPr>
                <w:rFonts w:ascii="Times New Roman" w:eastAsia="바탕" w:hAnsi="Times New Roman" w:cs="Times New Roman"/>
                <w:b/>
                <w:bCs/>
                <w:sz w:val="22"/>
                <w:szCs w:val="18"/>
                <w:highlight w:val="green"/>
                <w:lang w:val="en-GB" w:eastAsia="en-US"/>
              </w:rPr>
            </w:pPr>
          </w:p>
          <w:p w14:paraId="7D494415" w14:textId="12CB1A12" w:rsidR="000F279C" w:rsidRPr="000F279C" w:rsidRDefault="000F279C" w:rsidP="000F279C">
            <w:pPr>
              <w:jc w:val="both"/>
              <w:rPr>
                <w:rFonts w:ascii="Times New Roman" w:hAnsi="Times New Roman" w:cs="Times New Roman"/>
                <w:b/>
                <w:bCs/>
                <w:color w:val="000000"/>
                <w:sz w:val="20"/>
                <w:szCs w:val="18"/>
                <w:highlight w:val="green"/>
              </w:rPr>
            </w:pPr>
            <w:r w:rsidRPr="000F279C">
              <w:rPr>
                <w:rFonts w:ascii="Times New Roman" w:hAnsi="Times New Roman" w:cs="Times New Roman"/>
                <w:b/>
                <w:bCs/>
                <w:color w:val="000000"/>
                <w:sz w:val="20"/>
                <w:szCs w:val="18"/>
                <w:highlight w:val="green"/>
              </w:rPr>
              <w:t>Agreement</w:t>
            </w:r>
            <w:r w:rsidRPr="000F279C">
              <w:rPr>
                <w:rFonts w:ascii="Times New Roman" w:hAnsi="Times New Roman" w:cs="Times New Roman"/>
                <w:b/>
                <w:bCs/>
                <w:color w:val="000000"/>
                <w:sz w:val="20"/>
                <w:szCs w:val="18"/>
              </w:rPr>
              <w:t xml:space="preserve"> </w:t>
            </w:r>
            <w:r w:rsidRPr="000F279C">
              <w:rPr>
                <w:rFonts w:ascii="Times New Roman" w:hAnsi="Times New Roman"/>
                <w:b/>
                <w:bCs/>
                <w:color w:val="000000"/>
                <w:sz w:val="20"/>
                <w:szCs w:val="18"/>
              </w:rPr>
              <w:t xml:space="preserve">(M-DCI </w:t>
            </w:r>
            <w:r w:rsidR="001D4BD8" w:rsidRPr="000F279C">
              <w:rPr>
                <w:rFonts w:ascii="Times New Roman" w:hAnsi="Times New Roman"/>
                <w:b/>
                <w:bCs/>
                <w:color w:val="000000"/>
                <w:sz w:val="20"/>
                <w:szCs w:val="18"/>
              </w:rPr>
              <w:t>PU</w:t>
            </w:r>
            <w:r w:rsidR="001D4BD8">
              <w:rPr>
                <w:rFonts w:ascii="Times New Roman" w:hAnsi="Times New Roman"/>
                <w:b/>
                <w:bCs/>
                <w:color w:val="000000"/>
                <w:sz w:val="20"/>
                <w:szCs w:val="18"/>
              </w:rPr>
              <w:t>C</w:t>
            </w:r>
            <w:r w:rsidR="001D4BD8" w:rsidRPr="000F279C">
              <w:rPr>
                <w:rFonts w:ascii="Times New Roman" w:hAnsi="Times New Roman"/>
                <w:b/>
                <w:bCs/>
                <w:color w:val="000000"/>
                <w:sz w:val="20"/>
                <w:szCs w:val="18"/>
              </w:rPr>
              <w:t>CH</w:t>
            </w:r>
            <w:r w:rsidRPr="000F279C">
              <w:rPr>
                <w:rFonts w:ascii="Times New Roman" w:hAnsi="Times New Roman"/>
                <w:b/>
                <w:bCs/>
                <w:color w:val="000000"/>
                <w:sz w:val="20"/>
                <w:szCs w:val="18"/>
              </w:rPr>
              <w:t>)</w:t>
            </w:r>
          </w:p>
          <w:p w14:paraId="0E3CE634" w14:textId="77777777" w:rsidR="001D4BD8" w:rsidRPr="001D4BD8" w:rsidRDefault="001D4BD8" w:rsidP="001D4BD8">
            <w:pPr>
              <w:tabs>
                <w:tab w:val="left" w:pos="0"/>
              </w:tabs>
              <w:rPr>
                <w:rFonts w:ascii="Times New Roman" w:eastAsia="바탕" w:hAnsi="Times New Roman" w:cs="Times New Roman"/>
                <w:color w:val="000000"/>
                <w:sz w:val="20"/>
                <w:szCs w:val="20"/>
                <w:lang w:val="en-GB" w:eastAsia="en-US"/>
              </w:rPr>
            </w:pPr>
            <w:r w:rsidRPr="001D4BD8">
              <w:rPr>
                <w:rFonts w:ascii="Times New Roman" w:eastAsia="바탕" w:hAnsi="Times New Roman" w:cs="Times New Roman"/>
                <w:color w:val="000000"/>
                <w:sz w:val="20"/>
                <w:szCs w:val="20"/>
                <w:lang w:val="en-GB" w:eastAsia="zh-CN"/>
              </w:rPr>
              <w:t>On unified TCI framework extension for M-DCI based MTRP</w:t>
            </w:r>
            <w:r w:rsidRPr="001D4BD8">
              <w:rPr>
                <w:rFonts w:ascii="Times New Roman" w:eastAsia="바탕" w:hAnsi="Times New Roman" w:cs="Times New Roman"/>
                <w:color w:val="000000"/>
                <w:sz w:val="20"/>
                <w:szCs w:val="20"/>
                <w:lang w:val="en-GB" w:eastAsia="en-US"/>
              </w:rPr>
              <w:t xml:space="preserve">, </w:t>
            </w:r>
            <w:r w:rsidRPr="001D4BD8">
              <w:rPr>
                <w:rFonts w:ascii="Times New Roman" w:eastAsia="바탕" w:hAnsi="Times New Roman" w:cs="Times New Roman"/>
                <w:color w:val="FF0000"/>
                <w:sz w:val="20"/>
                <w:szCs w:val="20"/>
                <w:lang w:val="en-GB" w:eastAsia="en-US"/>
              </w:rPr>
              <w:t>down-select from the following options</w:t>
            </w:r>
            <w:r w:rsidRPr="001D4BD8">
              <w:rPr>
                <w:rFonts w:ascii="Times New Roman" w:eastAsia="바탕" w:hAnsi="Times New Roman" w:cs="Times New Roman"/>
                <w:color w:val="000000"/>
                <w:sz w:val="20"/>
                <w:szCs w:val="20"/>
                <w:lang w:val="en-GB" w:eastAsia="en-US"/>
              </w:rPr>
              <w:t xml:space="preserve"> for PUCCH transmission:</w:t>
            </w:r>
          </w:p>
          <w:p w14:paraId="5158156F" w14:textId="77777777" w:rsidR="001D4BD8" w:rsidRPr="001D4BD8" w:rsidRDefault="001D4BD8" w:rsidP="001D4BD8">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rPr>
            </w:pPr>
            <w:r w:rsidRPr="001D4BD8">
              <w:rPr>
                <w:rFonts w:ascii="Times New Roman" w:eastAsia="바탕" w:hAnsi="Times New Roman" w:cs="Times New Roman"/>
                <w:color w:val="000000"/>
                <w:sz w:val="20"/>
                <w:szCs w:val="20"/>
                <w:lang w:val="en-GB" w:eastAsia="x-none"/>
              </w:rPr>
              <w:t xml:space="preserve">Opt1: A </w:t>
            </w:r>
            <w:r w:rsidRPr="001D4BD8">
              <w:rPr>
                <w:rFonts w:ascii="Times New Roman" w:eastAsia="바탕" w:hAnsi="Times New Roman" w:cs="Times New Roman"/>
                <w:i/>
                <w:iCs/>
                <w:color w:val="000000"/>
                <w:sz w:val="20"/>
                <w:szCs w:val="20"/>
                <w:lang w:val="en-GB" w:eastAsia="x-none"/>
              </w:rPr>
              <w:t xml:space="preserve">coresetPoolIndex </w:t>
            </w:r>
            <w:r w:rsidRPr="001D4BD8">
              <w:rPr>
                <w:rFonts w:ascii="Times New Roman" w:eastAsia="바탕" w:hAnsi="Times New Roman" w:cs="Times New Roman"/>
                <w:color w:val="000000"/>
                <w:sz w:val="20"/>
                <w:szCs w:val="20"/>
                <w:lang w:val="en-GB" w:eastAsia="x-none"/>
              </w:rPr>
              <w:t xml:space="preserve">value can be </w:t>
            </w:r>
            <w:r w:rsidRPr="001D4BD8">
              <w:rPr>
                <w:rFonts w:ascii="Times New Roman" w:eastAsia="바탕" w:hAnsi="Times New Roman" w:cs="Times New Roman"/>
                <w:color w:val="000000"/>
                <w:sz w:val="20"/>
                <w:szCs w:val="20"/>
                <w:lang w:val="en-GB"/>
              </w:rPr>
              <w:t xml:space="preserve">provided </w:t>
            </w:r>
            <w:r w:rsidRPr="001D4BD8">
              <w:rPr>
                <w:rFonts w:ascii="Times New Roman" w:eastAsia="바탕" w:hAnsi="Times New Roman" w:cs="Times New Roman"/>
                <w:color w:val="000000"/>
                <w:sz w:val="20"/>
                <w:szCs w:val="20"/>
                <w:lang w:val="en-GB" w:eastAsia="x-none"/>
              </w:rPr>
              <w:t xml:space="preserve">per PUCCH resource/resource group, and the UE shall apply the indicated joint/UL TCI state specific to the </w:t>
            </w:r>
            <w:r w:rsidRPr="001D4BD8">
              <w:rPr>
                <w:rFonts w:ascii="Times New Roman" w:eastAsia="바탕" w:hAnsi="Times New Roman" w:cs="Times New Roman"/>
                <w:i/>
                <w:iCs/>
                <w:color w:val="000000"/>
                <w:sz w:val="20"/>
                <w:szCs w:val="20"/>
                <w:lang w:val="en-GB" w:eastAsia="x-none"/>
              </w:rPr>
              <w:t>coresetPoolIndex</w:t>
            </w:r>
            <w:r w:rsidRPr="001D4BD8">
              <w:rPr>
                <w:rFonts w:ascii="Times New Roman" w:eastAsia="바탕" w:hAnsi="Times New Roman" w:cs="Times New Roman"/>
                <w:color w:val="000000"/>
                <w:sz w:val="20"/>
                <w:szCs w:val="20"/>
                <w:lang w:val="en-GB" w:eastAsia="x-none"/>
              </w:rPr>
              <w:t xml:space="preserve"> value to the corresponding PUCCH transmission</w:t>
            </w:r>
          </w:p>
          <w:p w14:paraId="3B3B228A" w14:textId="77777777" w:rsidR="001D4BD8" w:rsidRPr="001D4BD8" w:rsidRDefault="001D4BD8" w:rsidP="001D4BD8">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000000"/>
                <w:sz w:val="20"/>
                <w:szCs w:val="20"/>
                <w:lang w:val="en-GB" w:eastAsia="x-none"/>
              </w:rPr>
            </w:pPr>
            <w:r w:rsidRPr="001D4BD8">
              <w:rPr>
                <w:rFonts w:ascii="Times New Roman" w:eastAsia="바탕" w:hAnsi="Times New Roman" w:cs="Times New Roman"/>
                <w:color w:val="000000"/>
                <w:sz w:val="20"/>
                <w:szCs w:val="20"/>
                <w:lang w:val="en-GB"/>
              </w:rPr>
              <w:t xml:space="preserve">Opt2: An RRC configuration can be provided </w:t>
            </w:r>
            <w:r w:rsidRPr="001D4BD8">
              <w:rPr>
                <w:rFonts w:ascii="Times New Roman" w:eastAsia="바탕" w:hAnsi="Times New Roman" w:cs="Times New Roman"/>
                <w:color w:val="000000"/>
                <w:sz w:val="20"/>
                <w:szCs w:val="20"/>
                <w:lang w:val="en-GB" w:eastAsia="x-none"/>
              </w:rPr>
              <w:t>per PUCCH resource/resource group</w:t>
            </w:r>
            <w:r w:rsidRPr="001D4BD8">
              <w:rPr>
                <w:rFonts w:ascii="Times New Roman" w:eastAsia="바탕" w:hAnsi="Times New Roman" w:cs="Times New Roman"/>
                <w:color w:val="000000"/>
                <w:sz w:val="20"/>
                <w:szCs w:val="20"/>
                <w:lang w:val="en-GB"/>
              </w:rPr>
              <w:t xml:space="preserve"> to inform that the UE shall apply the first or the second indicated joint/UL TCI state</w:t>
            </w:r>
            <w:r w:rsidRPr="001D4BD8">
              <w:rPr>
                <w:rFonts w:ascii="Times New Roman" w:eastAsia="바탕" w:hAnsi="Times New Roman" w:cs="Times New Roman"/>
                <w:color w:val="000000"/>
                <w:sz w:val="20"/>
                <w:szCs w:val="20"/>
                <w:lang w:val="en-GB" w:eastAsia="x-none"/>
              </w:rPr>
              <w:t xml:space="preserve"> to the corresponding PUCCH transmission</w:t>
            </w:r>
            <w:r w:rsidRPr="001D4BD8">
              <w:rPr>
                <w:rFonts w:ascii="Times New Roman" w:eastAsia="바탕" w:hAnsi="Times New Roman" w:cs="Times New Roman"/>
                <w:color w:val="000000"/>
                <w:sz w:val="20"/>
                <w:szCs w:val="20"/>
                <w:lang w:val="en-GB" w:eastAsia="zh-CN"/>
              </w:rPr>
              <w:t>, where</w:t>
            </w:r>
            <w:r w:rsidRPr="001D4BD8">
              <w:rPr>
                <w:rFonts w:ascii="Times New Roman" w:eastAsia="바탕" w:hAnsi="Times New Roman" w:cs="Times New Roman"/>
                <w:color w:val="000000"/>
                <w:sz w:val="20"/>
                <w:szCs w:val="20"/>
                <w:lang w:val="en-GB" w:eastAsia="x-none"/>
              </w:rPr>
              <w:t xml:space="preserve"> the first and the second indicated joint/DL TCI states correspond to the indicated joint/UL TCI states specific to </w:t>
            </w:r>
            <w:r w:rsidRPr="001D4BD8">
              <w:rPr>
                <w:rFonts w:ascii="Times New Roman" w:eastAsia="바탕" w:hAnsi="Times New Roman" w:cs="Times New Roman"/>
                <w:i/>
                <w:iCs/>
                <w:color w:val="000000"/>
                <w:sz w:val="20"/>
                <w:szCs w:val="20"/>
                <w:lang w:val="en-GB" w:eastAsia="x-none"/>
              </w:rPr>
              <w:t>coresetPoolIndex</w:t>
            </w:r>
            <w:r w:rsidRPr="001D4BD8">
              <w:rPr>
                <w:rFonts w:ascii="Times New Roman" w:eastAsia="바탕" w:hAnsi="Times New Roman" w:cs="Times New Roman"/>
                <w:color w:val="000000"/>
                <w:sz w:val="20"/>
                <w:szCs w:val="20"/>
                <w:lang w:val="en-GB" w:eastAsia="x-none"/>
              </w:rPr>
              <w:t xml:space="preserve"> value 0 and value 1, respectively.</w:t>
            </w:r>
          </w:p>
          <w:p w14:paraId="66A8E4AB" w14:textId="77777777" w:rsidR="001D4BD8" w:rsidRPr="001D4BD8" w:rsidRDefault="001D4BD8" w:rsidP="001D4BD8">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바탕" w:hAnsi="Times New Roman" w:cs="Times New Roman"/>
                <w:color w:val="FF0000"/>
                <w:sz w:val="20"/>
                <w:szCs w:val="20"/>
                <w:lang w:val="en-GB" w:eastAsia="x-none"/>
              </w:rPr>
            </w:pPr>
            <w:r w:rsidRPr="001D4BD8">
              <w:rPr>
                <w:rFonts w:ascii="Times New Roman" w:eastAsia="바탕" w:hAnsi="Times New Roman" w:cs="Times New Roman"/>
                <w:color w:val="000000"/>
                <w:sz w:val="20"/>
                <w:szCs w:val="20"/>
                <w:lang w:val="en-GB" w:eastAsia="x-none"/>
              </w:rPr>
              <w:t>Opt3: For a PUCCH transmission triggered by PDCCH</w:t>
            </w:r>
            <w:r w:rsidRPr="001D4BD8" w:rsidDel="00DB7F4B">
              <w:rPr>
                <w:rFonts w:ascii="Times New Roman" w:eastAsia="바탕" w:hAnsi="Times New Roman" w:cs="Times New Roman"/>
                <w:color w:val="000000"/>
                <w:sz w:val="20"/>
                <w:szCs w:val="20"/>
                <w:lang w:val="en-GB" w:eastAsia="x-none"/>
              </w:rPr>
              <w:t xml:space="preserve"> </w:t>
            </w:r>
            <w:r w:rsidRPr="001D4BD8">
              <w:rPr>
                <w:rFonts w:ascii="Times New Roman" w:eastAsia="바탕" w:hAnsi="Times New Roman" w:cs="Times New Roman"/>
                <w:color w:val="000000"/>
                <w:sz w:val="20"/>
                <w:szCs w:val="20"/>
                <w:lang w:val="en-GB" w:eastAsia="x-none"/>
              </w:rPr>
              <w:t xml:space="preserve">on a CORESET when </w:t>
            </w:r>
            <w:r w:rsidRPr="001D4BD8">
              <w:rPr>
                <w:rFonts w:ascii="Times New Roman" w:eastAsia="DengXian" w:hAnsi="Times New Roman" w:cs="Times New Roman"/>
                <w:color w:val="000000"/>
                <w:sz w:val="20"/>
                <w:szCs w:val="20"/>
                <w:lang w:val="en-GB" w:eastAsia="zh-CN"/>
              </w:rPr>
              <w:t xml:space="preserve">the UCI in the PUCCH transmission carries HARQ-ACK information only, </w:t>
            </w:r>
            <w:r w:rsidRPr="001D4BD8">
              <w:rPr>
                <w:rFonts w:ascii="Times New Roman" w:eastAsia="바탕" w:hAnsi="Times New Roman" w:cs="Times New Roman"/>
                <w:color w:val="000000"/>
                <w:sz w:val="20"/>
                <w:szCs w:val="20"/>
                <w:lang w:val="en-GB" w:eastAsia="zh-CN"/>
              </w:rPr>
              <w:t>t</w:t>
            </w:r>
            <w:r w:rsidRPr="001D4BD8">
              <w:rPr>
                <w:rFonts w:ascii="Times New Roman" w:eastAsia="바탕" w:hAnsi="Times New Roman" w:cs="Times New Roman"/>
                <w:color w:val="000000"/>
                <w:sz w:val="20"/>
                <w:szCs w:val="20"/>
                <w:lang w:val="en-GB" w:eastAsia="x-none"/>
              </w:rPr>
              <w:t xml:space="preserve">he UE shall apply the indicated joint/UL TCI state specific to a </w:t>
            </w:r>
            <w:r w:rsidRPr="001D4BD8">
              <w:rPr>
                <w:rFonts w:ascii="Times New Roman" w:eastAsia="바탕" w:hAnsi="Times New Roman" w:cs="Times New Roman"/>
                <w:i/>
                <w:iCs/>
                <w:color w:val="000000"/>
                <w:sz w:val="20"/>
                <w:szCs w:val="20"/>
                <w:lang w:val="en-GB" w:eastAsia="x-none"/>
              </w:rPr>
              <w:t xml:space="preserve">coresetPoolIndex </w:t>
            </w:r>
            <w:r w:rsidRPr="001D4BD8">
              <w:rPr>
                <w:rFonts w:ascii="Times New Roman" w:eastAsia="바탕" w:hAnsi="Times New Roman" w:cs="Times New Roman"/>
                <w:color w:val="000000"/>
                <w:sz w:val="20"/>
                <w:szCs w:val="20"/>
                <w:lang w:val="en-GB" w:eastAsia="x-none"/>
              </w:rPr>
              <w:t xml:space="preserve">value to the PUCCH transmission, where the </w:t>
            </w:r>
            <w:r w:rsidRPr="001D4BD8">
              <w:rPr>
                <w:rFonts w:ascii="Times New Roman" w:eastAsia="바탕" w:hAnsi="Times New Roman" w:cs="Times New Roman"/>
                <w:i/>
                <w:iCs/>
                <w:color w:val="000000"/>
                <w:sz w:val="20"/>
                <w:szCs w:val="20"/>
                <w:lang w:val="en-GB" w:eastAsia="x-none"/>
              </w:rPr>
              <w:t xml:space="preserve">coresetPoolIndex </w:t>
            </w:r>
            <w:r w:rsidRPr="001D4BD8">
              <w:rPr>
                <w:rFonts w:ascii="Times New Roman" w:eastAsia="바탕" w:hAnsi="Times New Roman" w:cs="Times New Roman"/>
                <w:color w:val="000000"/>
                <w:sz w:val="20"/>
                <w:szCs w:val="20"/>
                <w:lang w:val="en-GB" w:eastAsia="x-none"/>
              </w:rPr>
              <w:t xml:space="preserve">value is determined from the one associated with the CORESET. </w:t>
            </w:r>
            <w:r w:rsidRPr="001D4BD8">
              <w:rPr>
                <w:rFonts w:ascii="Times New Roman" w:eastAsia="바탕" w:hAnsi="Times New Roman" w:cs="Times New Roman"/>
                <w:color w:val="FF0000"/>
                <w:sz w:val="20"/>
                <w:szCs w:val="20"/>
                <w:lang w:val="en-GB" w:eastAsia="x-none"/>
              </w:rPr>
              <w:t>Otherwise, either Opt1 or Opt2 is adopted.</w:t>
            </w:r>
          </w:p>
          <w:p w14:paraId="78595A78" w14:textId="77777777" w:rsidR="001D4BD8" w:rsidRPr="001D4BD8" w:rsidRDefault="001D4BD8" w:rsidP="001D4BD8">
            <w:pPr>
              <w:numPr>
                <w:ilvl w:val="1"/>
                <w:numId w:val="42"/>
              </w:numPr>
              <w:overflowPunct w:val="0"/>
              <w:autoSpaceDE w:val="0"/>
              <w:autoSpaceDN w:val="0"/>
              <w:adjustRightInd w:val="0"/>
              <w:spacing w:after="180"/>
              <w:jc w:val="both"/>
              <w:textAlignment w:val="baseline"/>
              <w:rPr>
                <w:rFonts w:ascii="Times New Roman" w:eastAsia="바탕" w:hAnsi="Times New Roman" w:cs="Times New Roman"/>
                <w:color w:val="000000"/>
                <w:sz w:val="20"/>
                <w:szCs w:val="20"/>
                <w:lang w:val="en-GB" w:eastAsia="en-US"/>
              </w:rPr>
            </w:pPr>
            <w:r w:rsidRPr="001D4BD8">
              <w:rPr>
                <w:rFonts w:ascii="Times New Roman" w:eastAsia="바탕" w:hAnsi="Times New Roman" w:cs="Times New Roman" w:hint="eastAsia"/>
                <w:color w:val="000000"/>
                <w:sz w:val="20"/>
                <w:szCs w:val="20"/>
                <w:lang w:val="en-GB" w:eastAsia="en-US"/>
              </w:rPr>
              <w:lastRenderedPageBreak/>
              <w:t>F</w:t>
            </w:r>
            <w:r w:rsidRPr="001D4BD8">
              <w:rPr>
                <w:rFonts w:ascii="Times New Roman" w:eastAsia="바탕" w:hAnsi="Times New Roman" w:cs="Times New Roman"/>
                <w:color w:val="000000"/>
                <w:sz w:val="20"/>
                <w:szCs w:val="20"/>
                <w:lang w:val="en-GB" w:eastAsia="en-US"/>
              </w:rPr>
              <w:t xml:space="preserve">FS: </w:t>
            </w:r>
            <w:r w:rsidRPr="001D4BD8">
              <w:rPr>
                <w:rFonts w:ascii="Times New Roman" w:eastAsia="바탕" w:hAnsi="Times New Roman" w:cs="Times New Roman"/>
                <w:color w:val="000000"/>
                <w:sz w:val="20"/>
                <w:szCs w:val="20"/>
                <w:lang w:val="en-CA" w:eastAsia="zh-CN"/>
              </w:rPr>
              <w:t>Whether</w:t>
            </w:r>
            <w:r w:rsidRPr="001D4BD8">
              <w:rPr>
                <w:rFonts w:ascii="Times New Roman" w:eastAsia="바탕" w:hAnsi="Times New Roman" w:cs="Times New Roman"/>
                <w:color w:val="000000"/>
                <w:sz w:val="20"/>
                <w:szCs w:val="20"/>
                <w:lang w:val="en-GB" w:eastAsia="en-US"/>
              </w:rPr>
              <w:t xml:space="preserve"> Opt3 applies only when the </w:t>
            </w:r>
            <w:r w:rsidRPr="001D4BD8">
              <w:rPr>
                <w:rFonts w:ascii="Times New Roman" w:eastAsia="DengXian" w:hAnsi="Times New Roman" w:cs="Times New Roman"/>
                <w:color w:val="000000"/>
                <w:sz w:val="20"/>
                <w:szCs w:val="20"/>
                <w:lang w:val="en-GB" w:eastAsia="zh-CN"/>
              </w:rPr>
              <w:t xml:space="preserve">UE is not provided with </w:t>
            </w:r>
            <w:r w:rsidRPr="001D4BD8">
              <w:rPr>
                <w:rFonts w:ascii="Times New Roman" w:eastAsia="DengXian" w:hAnsi="Times New Roman" w:cs="Times New Roman"/>
                <w:i/>
                <w:iCs/>
                <w:color w:val="000000"/>
                <w:sz w:val="20"/>
                <w:szCs w:val="20"/>
                <w:lang w:val="en-GB" w:eastAsia="zh-CN"/>
              </w:rPr>
              <w:t>ackNackFeedbackMode</w:t>
            </w:r>
            <w:r w:rsidRPr="001D4BD8">
              <w:rPr>
                <w:rFonts w:ascii="Times New Roman" w:eastAsia="DengXian" w:hAnsi="Times New Roman" w:cs="Times New Roman"/>
                <w:color w:val="000000"/>
                <w:sz w:val="20"/>
                <w:szCs w:val="20"/>
                <w:lang w:val="en-GB" w:eastAsia="zh-CN"/>
              </w:rPr>
              <w:t xml:space="preserve"> = </w:t>
            </w:r>
            <w:r w:rsidRPr="001D4BD8">
              <w:rPr>
                <w:rFonts w:ascii="Times New Roman" w:eastAsia="DengXian" w:hAnsi="Times New Roman" w:cs="Times New Roman"/>
                <w:i/>
                <w:iCs/>
                <w:color w:val="000000"/>
                <w:sz w:val="20"/>
                <w:szCs w:val="20"/>
                <w:lang w:val="en-GB" w:eastAsia="zh-CN"/>
              </w:rPr>
              <w:t>joint</w:t>
            </w:r>
          </w:p>
          <w:p w14:paraId="16F0B272" w14:textId="77777777" w:rsidR="001D4BD8" w:rsidRPr="001D4BD8" w:rsidRDefault="001D4BD8" w:rsidP="001D4BD8">
            <w:pPr>
              <w:numPr>
                <w:ilvl w:val="0"/>
                <w:numId w:val="41"/>
              </w:numPr>
              <w:tabs>
                <w:tab w:val="left" w:pos="314"/>
              </w:tabs>
              <w:suppressAutoHyphens/>
              <w:overflowPunct w:val="0"/>
              <w:autoSpaceDE w:val="0"/>
              <w:autoSpaceDN w:val="0"/>
              <w:adjustRightInd w:val="0"/>
              <w:snapToGrid w:val="0"/>
              <w:spacing w:after="180"/>
              <w:ind w:left="314" w:hanging="142"/>
              <w:contextualSpacing/>
              <w:textAlignment w:val="baseline"/>
              <w:rPr>
                <w:rFonts w:ascii="Times New Roman" w:eastAsia="맑은 고딕" w:hAnsi="Times New Roman" w:cs="Times New Roman"/>
                <w:color w:val="FF0000"/>
                <w:sz w:val="20"/>
                <w:szCs w:val="20"/>
                <w:lang w:val="en-GB"/>
              </w:rPr>
            </w:pPr>
            <w:r w:rsidRPr="001D4BD8">
              <w:rPr>
                <w:rFonts w:ascii="Times New Roman" w:eastAsia="바탕" w:hAnsi="Times New Roman" w:cs="Times New Roman"/>
                <w:color w:val="000000"/>
                <w:sz w:val="20"/>
                <w:szCs w:val="20"/>
                <w:lang w:val="en-GB" w:eastAsia="x-none"/>
              </w:rPr>
              <w:t xml:space="preserve">Opt4: </w:t>
            </w:r>
            <w:r w:rsidRPr="001D4BD8">
              <w:rPr>
                <w:rFonts w:ascii="Times New Roman" w:eastAsia="DengXian" w:hAnsi="Times New Roman" w:cs="Times New Roman"/>
                <w:color w:val="000000"/>
                <w:sz w:val="20"/>
                <w:szCs w:val="20"/>
                <w:lang w:val="en-GB" w:eastAsia="zh-CN"/>
              </w:rPr>
              <w:t>For</w:t>
            </w:r>
            <w:r w:rsidRPr="001D4BD8">
              <w:rPr>
                <w:rFonts w:ascii="Times New Roman" w:eastAsia="바탕" w:hAnsi="Times New Roman" w:cs="Times New Roman"/>
                <w:color w:val="000000"/>
                <w:sz w:val="20"/>
                <w:szCs w:val="20"/>
                <w:lang w:val="en-GB" w:eastAsia="x-none"/>
              </w:rPr>
              <w:t xml:space="preserve"> a PUCCH transmission with a</w:t>
            </w:r>
            <w:r w:rsidRPr="001D4BD8">
              <w:rPr>
                <w:rFonts w:ascii="Times New Roman" w:eastAsia="PMingLiU" w:hAnsi="Times New Roman" w:cs="Times New Roman"/>
                <w:color w:val="000000"/>
                <w:sz w:val="20"/>
                <w:szCs w:val="20"/>
                <w:lang w:val="en-GB" w:eastAsia="zh-TW"/>
              </w:rPr>
              <w:t>n LRR trigged for ei</w:t>
            </w:r>
            <w:r w:rsidRPr="001D4BD8">
              <w:rPr>
                <w:rFonts w:ascii="Times New Roman" w:eastAsia="바탕" w:hAnsi="Times New Roman" w:cs="Times New Roman"/>
                <w:color w:val="000000"/>
                <w:sz w:val="20"/>
                <w:szCs w:val="20"/>
                <w:lang w:val="en-GB" w:eastAsia="x-none"/>
              </w:rPr>
              <w:t>ther the first BFD-RS set (</w:t>
            </w:r>
            <m:oMath>
              <m:sSub>
                <m:sSubPr>
                  <m:ctrlPr>
                    <w:rPr>
                      <w:rFonts w:ascii="Cambria Math" w:eastAsia="Times New Roman" w:hAnsi="Cambria Math" w:cs="Times New Roman"/>
                      <w:color w:val="000000"/>
                      <w:sz w:val="20"/>
                      <w:szCs w:val="20"/>
                      <w:lang w:val="en-GB" w:eastAsia="ja-JP"/>
                    </w:rPr>
                  </m:ctrlPr>
                </m:sSubPr>
                <m:e>
                  <m:acc>
                    <m:accPr>
                      <m:chr m:val="̅"/>
                      <m:ctrlPr>
                        <w:rPr>
                          <w:rFonts w:ascii="Cambria Math" w:eastAsia="Times New Roman" w:hAnsi="Cambria Math" w:cs="Times New Roman"/>
                          <w:color w:val="000000"/>
                          <w:sz w:val="20"/>
                          <w:szCs w:val="20"/>
                          <w:lang w:val="en-GB" w:eastAsia="ja-JP"/>
                        </w:rPr>
                      </m:ctrlPr>
                    </m:accPr>
                    <m:e>
                      <m:r>
                        <w:rPr>
                          <w:rFonts w:ascii="Cambria Math" w:eastAsia="Times New Roman" w:hAnsi="Cambria Math" w:cs="Times New Roman"/>
                          <w:color w:val="000000"/>
                          <w:sz w:val="20"/>
                          <w:szCs w:val="20"/>
                          <w:lang w:val="en-GB" w:eastAsia="ja-JP"/>
                        </w:rPr>
                        <m:t>q</m:t>
                      </m:r>
                    </m:e>
                  </m:acc>
                </m:e>
                <m:sub>
                  <m:r>
                    <m:rPr>
                      <m:sty m:val="p"/>
                    </m:rPr>
                    <w:rPr>
                      <w:rFonts w:ascii="Cambria Math" w:eastAsia="Times New Roman" w:hAnsi="Cambria Math" w:cs="Times New Roman"/>
                      <w:color w:val="000000"/>
                      <w:sz w:val="20"/>
                      <w:szCs w:val="20"/>
                      <w:lang w:val="en-GB" w:eastAsia="ja-JP"/>
                    </w:rPr>
                    <m:t>0,0</m:t>
                  </m:r>
                </m:sub>
              </m:sSub>
            </m:oMath>
            <w:r w:rsidRPr="001D4BD8">
              <w:rPr>
                <w:rFonts w:ascii="Times New Roman" w:eastAsia="바탕" w:hAnsi="Times New Roman" w:cs="Times New Roman"/>
                <w:color w:val="000000"/>
                <w:sz w:val="20"/>
                <w:szCs w:val="20"/>
                <w:lang w:val="en-GB" w:eastAsia="x-none"/>
              </w:rPr>
              <w:t>) or the second BFD-RS set (</w:t>
            </w:r>
            <m:oMath>
              <m:sSub>
                <m:sSubPr>
                  <m:ctrlPr>
                    <w:rPr>
                      <w:rFonts w:ascii="Cambria Math" w:eastAsia="Times New Roman" w:hAnsi="Cambria Math" w:cs="Times New Roman"/>
                      <w:color w:val="000000"/>
                      <w:sz w:val="20"/>
                      <w:szCs w:val="20"/>
                      <w:lang w:val="en-GB" w:eastAsia="ja-JP"/>
                    </w:rPr>
                  </m:ctrlPr>
                </m:sSubPr>
                <m:e>
                  <m:acc>
                    <m:accPr>
                      <m:chr m:val="̅"/>
                      <m:ctrlPr>
                        <w:rPr>
                          <w:rFonts w:ascii="Cambria Math" w:eastAsia="Times New Roman" w:hAnsi="Cambria Math" w:cs="Times New Roman"/>
                          <w:color w:val="000000"/>
                          <w:sz w:val="20"/>
                          <w:szCs w:val="20"/>
                          <w:lang w:val="en-GB" w:eastAsia="ja-JP"/>
                        </w:rPr>
                      </m:ctrlPr>
                    </m:accPr>
                    <m:e>
                      <m:r>
                        <w:rPr>
                          <w:rFonts w:ascii="Cambria Math" w:eastAsia="Times New Roman" w:hAnsi="Cambria Math" w:cs="Times New Roman"/>
                          <w:color w:val="000000"/>
                          <w:sz w:val="20"/>
                          <w:szCs w:val="20"/>
                          <w:lang w:val="en-GB" w:eastAsia="ja-JP"/>
                        </w:rPr>
                        <m:t>q</m:t>
                      </m:r>
                    </m:e>
                  </m:acc>
                </m:e>
                <m:sub>
                  <m:r>
                    <m:rPr>
                      <m:sty m:val="p"/>
                    </m:rPr>
                    <w:rPr>
                      <w:rFonts w:ascii="Cambria Math" w:eastAsia="Times New Roman" w:hAnsi="Cambria Math" w:cs="Times New Roman"/>
                      <w:color w:val="000000"/>
                      <w:sz w:val="20"/>
                      <w:szCs w:val="20"/>
                      <w:lang w:val="en-GB" w:eastAsia="ja-JP"/>
                    </w:rPr>
                    <m:t>0,1</m:t>
                  </m:r>
                </m:sub>
              </m:sSub>
            </m:oMath>
            <w:r w:rsidRPr="001D4BD8">
              <w:rPr>
                <w:rFonts w:ascii="Times New Roman" w:eastAsia="바탕" w:hAnsi="Times New Roman" w:cs="Times New Roman"/>
                <w:color w:val="000000"/>
                <w:sz w:val="20"/>
                <w:szCs w:val="20"/>
                <w:lang w:val="en-GB" w:eastAsia="x-none"/>
              </w:rPr>
              <w:t xml:space="preserve">) when the UE is provided only one </w:t>
            </w:r>
            <w:r w:rsidRPr="001D4BD8">
              <w:rPr>
                <w:rFonts w:ascii="Times New Roman" w:eastAsia="바탕" w:hAnsi="Times New Roman" w:cs="Times New Roman"/>
                <w:color w:val="FF0000"/>
                <w:sz w:val="20"/>
                <w:szCs w:val="20"/>
                <w:lang w:val="en-GB" w:eastAsia="x-none"/>
              </w:rPr>
              <w:t>or two</w:t>
            </w:r>
            <w:r w:rsidRPr="001D4BD8">
              <w:rPr>
                <w:rFonts w:ascii="Times New Roman" w:eastAsia="바탕" w:hAnsi="Times New Roman" w:cs="Times New Roman"/>
                <w:color w:val="000000"/>
                <w:sz w:val="20"/>
                <w:szCs w:val="20"/>
                <w:lang w:val="en-GB" w:eastAsia="x-none"/>
              </w:rPr>
              <w:t xml:space="preserve"> </w:t>
            </w:r>
            <w:r w:rsidRPr="001D4BD8">
              <w:rPr>
                <w:rFonts w:ascii="Times New Roman" w:eastAsia="바탕" w:hAnsi="Times New Roman" w:cs="Times New Roman"/>
                <w:i/>
                <w:iCs/>
                <w:color w:val="000000"/>
                <w:sz w:val="20"/>
                <w:szCs w:val="20"/>
                <w:lang w:val="en-GB" w:eastAsia="x-none"/>
              </w:rPr>
              <w:t>schedulingRequestID-BFR</w:t>
            </w:r>
            <w:r w:rsidRPr="001D4BD8">
              <w:rPr>
                <w:rFonts w:ascii="Times New Roman" w:eastAsia="바탕" w:hAnsi="Times New Roman" w:cs="Times New Roman"/>
                <w:color w:val="000000"/>
                <w:sz w:val="20"/>
                <w:szCs w:val="20"/>
                <w:lang w:val="en-GB" w:eastAsia="x-none"/>
              </w:rPr>
              <w:t xml:space="preserve"> configuration, the UE shall apply the indicated joint/UL TCI state specific to a </w:t>
            </w:r>
            <w:r w:rsidRPr="001D4BD8">
              <w:rPr>
                <w:rFonts w:ascii="Times New Roman" w:eastAsia="바탕" w:hAnsi="Times New Roman" w:cs="Times New Roman"/>
                <w:i/>
                <w:iCs/>
                <w:color w:val="000000"/>
                <w:sz w:val="20"/>
                <w:szCs w:val="20"/>
                <w:lang w:val="en-GB" w:eastAsia="x-none"/>
              </w:rPr>
              <w:t>coresetPoolIndex</w:t>
            </w:r>
            <w:r w:rsidRPr="001D4BD8">
              <w:rPr>
                <w:rFonts w:ascii="Times New Roman" w:eastAsia="바탕" w:hAnsi="Times New Roman" w:cs="Times New Roman"/>
                <w:color w:val="000000"/>
                <w:sz w:val="20"/>
                <w:szCs w:val="20"/>
                <w:lang w:val="en-GB" w:eastAsia="x-none"/>
              </w:rPr>
              <w:t xml:space="preserve"> value to the PUCCH transmission, where the </w:t>
            </w:r>
            <w:r w:rsidRPr="001D4BD8">
              <w:rPr>
                <w:rFonts w:ascii="Times New Roman" w:eastAsia="바탕" w:hAnsi="Times New Roman" w:cs="Times New Roman"/>
                <w:i/>
                <w:iCs/>
                <w:color w:val="000000"/>
                <w:sz w:val="20"/>
                <w:szCs w:val="20"/>
                <w:lang w:val="en-GB" w:eastAsia="x-none"/>
              </w:rPr>
              <w:t>coresetPoolIndex</w:t>
            </w:r>
            <w:r w:rsidRPr="001D4BD8">
              <w:rPr>
                <w:rFonts w:ascii="Times New Roman" w:eastAsia="바탕" w:hAnsi="Times New Roman" w:cs="Times New Roman"/>
                <w:color w:val="000000"/>
                <w:sz w:val="20"/>
                <w:szCs w:val="20"/>
                <w:lang w:val="en-GB" w:eastAsia="x-none"/>
              </w:rPr>
              <w:t xml:space="preserve"> value is 1 when the LRR is</w:t>
            </w:r>
            <w:r w:rsidRPr="001D4BD8">
              <w:rPr>
                <w:rFonts w:ascii="Times New Roman" w:eastAsia="PMingLiU" w:hAnsi="Times New Roman" w:cs="Times New Roman"/>
                <w:color w:val="000000"/>
                <w:sz w:val="20"/>
                <w:szCs w:val="20"/>
                <w:lang w:val="en-GB" w:eastAsia="zh-TW"/>
              </w:rPr>
              <w:t xml:space="preserve"> trigged</w:t>
            </w:r>
            <w:r w:rsidRPr="001D4BD8">
              <w:rPr>
                <w:rFonts w:ascii="Times New Roman" w:eastAsia="바탕" w:hAnsi="Times New Roman" w:cs="Times New Roman"/>
                <w:color w:val="000000"/>
                <w:sz w:val="20"/>
                <w:szCs w:val="20"/>
                <w:lang w:val="en-GB" w:eastAsia="x-none"/>
              </w:rPr>
              <w:t xml:space="preserve"> for the first BFD-RS set (</w:t>
            </w:r>
            <m:oMath>
              <m:sSub>
                <m:sSubPr>
                  <m:ctrlPr>
                    <w:rPr>
                      <w:rFonts w:ascii="Cambria Math" w:eastAsia="Times New Roman" w:hAnsi="Cambria Math" w:cs="Times New Roman"/>
                      <w:color w:val="000000"/>
                      <w:sz w:val="20"/>
                      <w:szCs w:val="20"/>
                      <w:lang w:val="en-GB" w:eastAsia="ja-JP"/>
                    </w:rPr>
                  </m:ctrlPr>
                </m:sSubPr>
                <m:e>
                  <m:acc>
                    <m:accPr>
                      <m:chr m:val="̅"/>
                      <m:ctrlPr>
                        <w:rPr>
                          <w:rFonts w:ascii="Cambria Math" w:eastAsia="Times New Roman" w:hAnsi="Cambria Math" w:cs="Times New Roman"/>
                          <w:color w:val="000000"/>
                          <w:sz w:val="20"/>
                          <w:szCs w:val="20"/>
                          <w:lang w:val="en-GB" w:eastAsia="ja-JP"/>
                        </w:rPr>
                      </m:ctrlPr>
                    </m:accPr>
                    <m:e>
                      <m:r>
                        <w:rPr>
                          <w:rFonts w:ascii="Cambria Math" w:eastAsia="Times New Roman" w:hAnsi="Cambria Math" w:cs="Times New Roman"/>
                          <w:color w:val="000000"/>
                          <w:sz w:val="20"/>
                          <w:szCs w:val="20"/>
                          <w:lang w:val="en-GB" w:eastAsia="ja-JP"/>
                        </w:rPr>
                        <m:t>q</m:t>
                      </m:r>
                    </m:e>
                  </m:acc>
                </m:e>
                <m:sub>
                  <m:r>
                    <m:rPr>
                      <m:sty m:val="p"/>
                    </m:rPr>
                    <w:rPr>
                      <w:rFonts w:ascii="Cambria Math" w:eastAsia="Times New Roman" w:hAnsi="Cambria Math" w:cs="Times New Roman"/>
                      <w:color w:val="000000"/>
                      <w:sz w:val="20"/>
                      <w:szCs w:val="20"/>
                      <w:lang w:val="en-GB" w:eastAsia="ja-JP"/>
                    </w:rPr>
                    <m:t>0,0</m:t>
                  </m:r>
                </m:sub>
              </m:sSub>
            </m:oMath>
            <w:r w:rsidRPr="001D4BD8">
              <w:rPr>
                <w:rFonts w:ascii="Times New Roman" w:eastAsia="바탕" w:hAnsi="Times New Roman" w:cs="Times New Roman"/>
                <w:color w:val="000000"/>
                <w:sz w:val="20"/>
                <w:szCs w:val="20"/>
                <w:lang w:val="en-GB" w:eastAsia="x-none"/>
              </w:rPr>
              <w:t xml:space="preserve">) and the </w:t>
            </w:r>
            <w:r w:rsidRPr="001D4BD8">
              <w:rPr>
                <w:rFonts w:ascii="Times New Roman" w:eastAsia="바탕" w:hAnsi="Times New Roman" w:cs="Times New Roman"/>
                <w:i/>
                <w:iCs/>
                <w:color w:val="000000"/>
                <w:sz w:val="20"/>
                <w:szCs w:val="20"/>
                <w:lang w:val="en-GB" w:eastAsia="x-none"/>
              </w:rPr>
              <w:t>coresetPoolIndex</w:t>
            </w:r>
            <w:r w:rsidRPr="001D4BD8">
              <w:rPr>
                <w:rFonts w:ascii="Times New Roman" w:eastAsia="바탕" w:hAnsi="Times New Roman" w:cs="Times New Roman"/>
                <w:color w:val="000000"/>
                <w:sz w:val="20"/>
                <w:szCs w:val="20"/>
                <w:lang w:val="en-GB" w:eastAsia="x-none"/>
              </w:rPr>
              <w:t xml:space="preserve"> value is 0 when the LRR is</w:t>
            </w:r>
            <w:r w:rsidRPr="001D4BD8">
              <w:rPr>
                <w:rFonts w:ascii="Times New Roman" w:eastAsia="PMingLiU" w:hAnsi="Times New Roman" w:cs="Times New Roman"/>
                <w:color w:val="000000"/>
                <w:sz w:val="20"/>
                <w:szCs w:val="20"/>
                <w:lang w:val="en-GB" w:eastAsia="zh-TW"/>
              </w:rPr>
              <w:t xml:space="preserve"> trigged</w:t>
            </w:r>
            <w:r w:rsidRPr="001D4BD8">
              <w:rPr>
                <w:rFonts w:ascii="Times New Roman" w:eastAsia="바탕" w:hAnsi="Times New Roman" w:cs="Times New Roman"/>
                <w:color w:val="000000"/>
                <w:sz w:val="20"/>
                <w:szCs w:val="20"/>
                <w:lang w:val="en-GB" w:eastAsia="x-none"/>
              </w:rPr>
              <w:t xml:space="preserve"> for the second BFD-RS set (</w:t>
            </w:r>
            <m:oMath>
              <m:sSub>
                <m:sSubPr>
                  <m:ctrlPr>
                    <w:rPr>
                      <w:rFonts w:ascii="Cambria Math" w:eastAsia="Times New Roman" w:hAnsi="Cambria Math" w:cs="Times New Roman"/>
                      <w:color w:val="000000"/>
                      <w:sz w:val="20"/>
                      <w:szCs w:val="20"/>
                      <w:lang w:val="en-GB" w:eastAsia="ja-JP"/>
                    </w:rPr>
                  </m:ctrlPr>
                </m:sSubPr>
                <m:e>
                  <m:acc>
                    <m:accPr>
                      <m:chr m:val="̅"/>
                      <m:ctrlPr>
                        <w:rPr>
                          <w:rFonts w:ascii="Cambria Math" w:eastAsia="Times New Roman" w:hAnsi="Cambria Math" w:cs="Times New Roman"/>
                          <w:color w:val="000000"/>
                          <w:sz w:val="20"/>
                          <w:szCs w:val="20"/>
                          <w:lang w:val="en-GB" w:eastAsia="ja-JP"/>
                        </w:rPr>
                      </m:ctrlPr>
                    </m:accPr>
                    <m:e>
                      <m:r>
                        <w:rPr>
                          <w:rFonts w:ascii="Cambria Math" w:eastAsia="Times New Roman" w:hAnsi="Cambria Math" w:cs="Times New Roman"/>
                          <w:color w:val="000000"/>
                          <w:sz w:val="20"/>
                          <w:szCs w:val="20"/>
                          <w:lang w:val="en-GB" w:eastAsia="ja-JP"/>
                        </w:rPr>
                        <m:t>q</m:t>
                      </m:r>
                    </m:e>
                  </m:acc>
                </m:e>
                <m:sub>
                  <m:r>
                    <m:rPr>
                      <m:sty m:val="p"/>
                    </m:rPr>
                    <w:rPr>
                      <w:rFonts w:ascii="Cambria Math" w:eastAsia="Times New Roman" w:hAnsi="Cambria Math" w:cs="Times New Roman"/>
                      <w:color w:val="000000"/>
                      <w:sz w:val="20"/>
                      <w:szCs w:val="20"/>
                      <w:lang w:val="en-GB" w:eastAsia="ja-JP"/>
                    </w:rPr>
                    <m:t>0,1</m:t>
                  </m:r>
                </m:sub>
              </m:sSub>
            </m:oMath>
            <w:r w:rsidRPr="001D4BD8">
              <w:rPr>
                <w:rFonts w:ascii="Times New Roman" w:eastAsia="바탕" w:hAnsi="Times New Roman" w:cs="Times New Roman"/>
                <w:color w:val="000000"/>
                <w:sz w:val="20"/>
                <w:szCs w:val="20"/>
                <w:lang w:val="en-GB" w:eastAsia="x-none"/>
              </w:rPr>
              <w:t xml:space="preserve">). </w:t>
            </w:r>
            <w:r w:rsidRPr="001D4BD8">
              <w:rPr>
                <w:rFonts w:ascii="Times New Roman" w:eastAsia="바탕" w:hAnsi="Times New Roman" w:cs="Times New Roman"/>
                <w:color w:val="FF0000"/>
                <w:sz w:val="20"/>
                <w:szCs w:val="20"/>
                <w:lang w:val="en-GB" w:eastAsia="x-none"/>
              </w:rPr>
              <w:t>Otherwise, either Opt1 or Opt2 is adopted.</w:t>
            </w:r>
          </w:p>
          <w:p w14:paraId="1BC890D3" w14:textId="79413BB3" w:rsidR="00D57DC8" w:rsidRPr="00EA5B03" w:rsidRDefault="001D4BD8" w:rsidP="00EA5B03">
            <w:pPr>
              <w:tabs>
                <w:tab w:val="left" w:pos="314"/>
                <w:tab w:val="left" w:pos="720"/>
              </w:tabs>
              <w:snapToGrid w:val="0"/>
              <w:rPr>
                <w:rFonts w:ascii="Times New Roman" w:eastAsia="바탕" w:hAnsi="Times New Roman" w:cs="Times New Roman"/>
                <w:color w:val="FF0000"/>
                <w:sz w:val="20"/>
                <w:szCs w:val="20"/>
                <w:lang w:val="en-GB" w:eastAsia="en-US"/>
              </w:rPr>
            </w:pPr>
            <w:r w:rsidRPr="001D4BD8">
              <w:rPr>
                <w:rFonts w:ascii="Times New Roman" w:eastAsia="바탕" w:hAnsi="Times New Roman" w:cs="Times New Roman" w:hint="eastAsia"/>
                <w:color w:val="FF0000"/>
                <w:sz w:val="20"/>
                <w:szCs w:val="20"/>
                <w:lang w:val="en-GB" w:eastAsia="en-US"/>
              </w:rPr>
              <w:t>N</w:t>
            </w:r>
            <w:r w:rsidRPr="001D4BD8">
              <w:rPr>
                <w:rFonts w:ascii="Times New Roman" w:eastAsia="바탕" w:hAnsi="Times New Roman" w:cs="Times New Roman"/>
                <w:color w:val="FF0000"/>
                <w:sz w:val="20"/>
                <w:szCs w:val="20"/>
                <w:lang w:val="en-GB" w:eastAsia="en-US"/>
              </w:rPr>
              <w:t>ote: Either Opt1 or Opt2 must be supported</w:t>
            </w:r>
          </w:p>
        </w:tc>
      </w:tr>
    </w:tbl>
    <w:p w14:paraId="150080A7" w14:textId="1D662140" w:rsidR="00A21AD1" w:rsidRDefault="00271134" w:rsidP="007F7726">
      <w:pPr>
        <w:pStyle w:val="LGTdoc1"/>
        <w:snapToGrid/>
        <w:spacing w:beforeLines="0" w:before="100" w:beforeAutospacing="1" w:after="0" w:afterAutospacing="0" w:line="360" w:lineRule="auto"/>
        <w:contextualSpacing/>
        <w:rPr>
          <w:b w:val="0"/>
          <w:sz w:val="22"/>
          <w:lang w:val="en-US"/>
        </w:rPr>
      </w:pPr>
      <w:r>
        <w:rPr>
          <w:b w:val="0"/>
          <w:sz w:val="22"/>
          <w:lang w:val="en-US"/>
        </w:rPr>
        <w:lastRenderedPageBreak/>
        <w:t>Flexible application of STRP and MTRP schemes to different DL/UL channels/RSs can be done by configuring/indicating the linkage between the TCI states and the</w:t>
      </w:r>
      <w:r w:rsidR="006362BE">
        <w:rPr>
          <w:b w:val="0"/>
          <w:sz w:val="22"/>
          <w:lang w:val="en-US"/>
        </w:rPr>
        <w:t xml:space="preserve"> corresponding</w:t>
      </w:r>
      <w:r>
        <w:rPr>
          <w:b w:val="0"/>
          <w:sz w:val="22"/>
          <w:lang w:val="en-US"/>
        </w:rPr>
        <w:t xml:space="preserve"> channels/RSs for each STRP/MTRP scheme with th</w:t>
      </w:r>
      <w:r w:rsidR="00E935B4">
        <w:rPr>
          <w:b w:val="0"/>
          <w:sz w:val="22"/>
          <w:lang w:val="en-US"/>
        </w:rPr>
        <w:t>e various configuration of M/N</w:t>
      </w:r>
      <w:r w:rsidR="00E16041">
        <w:rPr>
          <w:b w:val="0"/>
          <w:sz w:val="22"/>
          <w:lang w:val="en-US"/>
        </w:rPr>
        <w:t xml:space="preserve">. </w:t>
      </w:r>
    </w:p>
    <w:p w14:paraId="0B18183B" w14:textId="380F58B7" w:rsidR="008659FF" w:rsidRDefault="00A21AD1" w:rsidP="008659FF">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For S-DCI MTRP PDSCH</w:t>
      </w:r>
      <w:r>
        <w:rPr>
          <w:b w:val="0"/>
          <w:sz w:val="22"/>
          <w:lang w:val="en-US"/>
        </w:rPr>
        <w:t xml:space="preserve">, a new </w:t>
      </w:r>
      <w:r w:rsidR="00236347">
        <w:rPr>
          <w:b w:val="0"/>
          <w:sz w:val="22"/>
          <w:lang w:val="en-US"/>
        </w:rPr>
        <w:t xml:space="preserve">TCI selection </w:t>
      </w:r>
      <w:r>
        <w:rPr>
          <w:b w:val="0"/>
          <w:sz w:val="22"/>
          <w:lang w:val="en-US"/>
        </w:rPr>
        <w:t xml:space="preserve">field configured by RRC is introduced to apply which indicated TCI states to STRP/MTRP PDSCH reception. The </w:t>
      </w:r>
      <w:r w:rsidR="0065558C">
        <w:rPr>
          <w:b w:val="0"/>
          <w:sz w:val="22"/>
          <w:lang w:val="en-US"/>
        </w:rPr>
        <w:t xml:space="preserve">remaining </w:t>
      </w:r>
      <w:r w:rsidR="00A22480">
        <w:rPr>
          <w:b w:val="0"/>
          <w:sz w:val="22"/>
          <w:lang w:val="en-US"/>
        </w:rPr>
        <w:t>issues are</w:t>
      </w:r>
      <w:r>
        <w:rPr>
          <w:b w:val="0"/>
          <w:sz w:val="22"/>
          <w:lang w:val="en-US"/>
        </w:rPr>
        <w:t xml:space="preserve"> the detailed design of </w:t>
      </w:r>
      <w:r w:rsidR="0065558C">
        <w:rPr>
          <w:b w:val="0"/>
          <w:sz w:val="22"/>
          <w:lang w:val="en-US"/>
        </w:rPr>
        <w:t xml:space="preserve">the </w:t>
      </w:r>
      <w:r w:rsidR="008659FF">
        <w:rPr>
          <w:b w:val="0"/>
          <w:sz w:val="22"/>
          <w:lang w:val="en-US"/>
        </w:rPr>
        <w:t>TCI selection</w:t>
      </w:r>
      <w:r>
        <w:rPr>
          <w:b w:val="0"/>
          <w:sz w:val="22"/>
          <w:lang w:val="en-US"/>
        </w:rPr>
        <w:t xml:space="preserve"> field</w:t>
      </w:r>
      <w:r w:rsidR="008659FF">
        <w:rPr>
          <w:b w:val="0"/>
          <w:sz w:val="22"/>
          <w:lang w:val="en-US"/>
        </w:rPr>
        <w:t xml:space="preserve"> with codepoint ‘11’</w:t>
      </w:r>
      <w:r>
        <w:rPr>
          <w:b w:val="0"/>
          <w:sz w:val="22"/>
          <w:lang w:val="en-US"/>
        </w:rPr>
        <w:t xml:space="preserve"> and </w:t>
      </w:r>
      <w:r w:rsidR="00236347">
        <w:rPr>
          <w:b w:val="0"/>
          <w:sz w:val="22"/>
          <w:lang w:val="en-US"/>
        </w:rPr>
        <w:t xml:space="preserve">of </w:t>
      </w:r>
      <w:r>
        <w:rPr>
          <w:b w:val="0"/>
          <w:sz w:val="22"/>
          <w:lang w:val="en-US"/>
        </w:rPr>
        <w:t xml:space="preserve">the </w:t>
      </w:r>
      <w:r w:rsidR="00236347">
        <w:rPr>
          <w:b w:val="0"/>
          <w:sz w:val="22"/>
          <w:lang w:val="en-US"/>
        </w:rPr>
        <w:t xml:space="preserve">applicability with indicated </w:t>
      </w:r>
      <w:r>
        <w:rPr>
          <w:b w:val="0"/>
          <w:sz w:val="22"/>
          <w:lang w:val="en-US"/>
        </w:rPr>
        <w:t>joint/DL TCI state(s) when the new indication field is not present</w:t>
      </w:r>
      <w:r w:rsidR="00726F92">
        <w:rPr>
          <w:b w:val="0"/>
          <w:sz w:val="22"/>
          <w:lang w:val="en-US"/>
        </w:rPr>
        <w:t>.</w:t>
      </w:r>
    </w:p>
    <w:p w14:paraId="3EE01538" w14:textId="0B31CA81" w:rsidR="00E166A0" w:rsidRDefault="003863D9" w:rsidP="008659FF">
      <w:pPr>
        <w:pStyle w:val="LGTdoc1"/>
        <w:snapToGrid/>
        <w:spacing w:beforeLines="0" w:before="100" w:beforeAutospacing="1" w:after="0" w:afterAutospacing="0" w:line="360" w:lineRule="auto"/>
        <w:ind w:firstLineChars="159" w:firstLine="350"/>
        <w:contextualSpacing/>
        <w:rPr>
          <w:b w:val="0"/>
          <w:sz w:val="22"/>
          <w:lang w:val="en-US"/>
        </w:rPr>
      </w:pPr>
      <w:r>
        <w:rPr>
          <w:b w:val="0"/>
          <w:sz w:val="22"/>
          <w:lang w:val="en-US"/>
        </w:rPr>
        <w:t>For the first issue of using</w:t>
      </w:r>
      <w:r w:rsidR="008659FF">
        <w:rPr>
          <w:b w:val="0"/>
          <w:sz w:val="22"/>
          <w:lang w:val="en-US"/>
        </w:rPr>
        <w:t xml:space="preserve"> the codepoint ‘11’, it </w:t>
      </w:r>
      <w:r w:rsidR="0065558C">
        <w:rPr>
          <w:b w:val="0"/>
          <w:sz w:val="22"/>
          <w:lang w:val="en-US"/>
        </w:rPr>
        <w:t xml:space="preserve">can </w:t>
      </w:r>
      <w:r>
        <w:rPr>
          <w:b w:val="0"/>
          <w:sz w:val="22"/>
          <w:lang w:val="en-US"/>
        </w:rPr>
        <w:t xml:space="preserve">be </w:t>
      </w:r>
      <w:r w:rsidR="0065558C">
        <w:rPr>
          <w:b w:val="0"/>
          <w:sz w:val="22"/>
          <w:lang w:val="en-US"/>
        </w:rPr>
        <w:t>use</w:t>
      </w:r>
      <w:r>
        <w:rPr>
          <w:b w:val="0"/>
          <w:sz w:val="22"/>
          <w:lang w:val="en-US"/>
        </w:rPr>
        <w:t>d</w:t>
      </w:r>
      <w:r w:rsidR="0065558C">
        <w:rPr>
          <w:b w:val="0"/>
          <w:sz w:val="22"/>
          <w:lang w:val="en-US"/>
        </w:rPr>
        <w:t xml:space="preserve"> for swapping the order of TCI state mapping</w:t>
      </w:r>
      <w:r w:rsidR="00D122A0">
        <w:rPr>
          <w:b w:val="0"/>
          <w:sz w:val="22"/>
          <w:lang w:val="en-US"/>
        </w:rPr>
        <w:t>, e.g., {2</w:t>
      </w:r>
      <w:r w:rsidR="00D122A0" w:rsidRPr="00D122A0">
        <w:rPr>
          <w:b w:val="0"/>
          <w:sz w:val="22"/>
          <w:vertAlign w:val="superscript"/>
          <w:lang w:val="en-US"/>
        </w:rPr>
        <w:t>nd</w:t>
      </w:r>
      <w:r w:rsidR="00D122A0">
        <w:rPr>
          <w:b w:val="0"/>
          <w:sz w:val="22"/>
          <w:lang w:val="en-US"/>
        </w:rPr>
        <w:t xml:space="preserve"> indicated TCI, 1</w:t>
      </w:r>
      <w:r w:rsidR="00D122A0" w:rsidRPr="00D122A0">
        <w:rPr>
          <w:b w:val="0"/>
          <w:sz w:val="22"/>
          <w:vertAlign w:val="superscript"/>
          <w:lang w:val="en-US"/>
        </w:rPr>
        <w:t>st</w:t>
      </w:r>
      <w:r w:rsidR="00D122A0">
        <w:rPr>
          <w:b w:val="0"/>
          <w:sz w:val="22"/>
          <w:lang w:val="en-US"/>
        </w:rPr>
        <w:t xml:space="preserve"> indicated TCI} for MTRP </w:t>
      </w:r>
      <w:r>
        <w:rPr>
          <w:b w:val="0"/>
          <w:sz w:val="22"/>
          <w:lang w:val="en-US"/>
        </w:rPr>
        <w:t xml:space="preserve">TDM </w:t>
      </w:r>
      <w:r w:rsidR="00D122A0">
        <w:rPr>
          <w:b w:val="0"/>
          <w:sz w:val="22"/>
          <w:lang w:val="en-US"/>
        </w:rPr>
        <w:t>PDSCH reception</w:t>
      </w:r>
      <w:r w:rsidR="00A22480">
        <w:rPr>
          <w:b w:val="0"/>
          <w:sz w:val="22"/>
          <w:lang w:val="en-US"/>
        </w:rPr>
        <w:t xml:space="preserve">. </w:t>
      </w:r>
      <w:r>
        <w:rPr>
          <w:b w:val="0"/>
          <w:sz w:val="22"/>
          <w:lang w:val="en-US"/>
        </w:rPr>
        <w:t>For the second issue for when</w:t>
      </w:r>
      <w:r w:rsidR="00A22480">
        <w:rPr>
          <w:b w:val="0"/>
          <w:sz w:val="22"/>
          <w:lang w:val="en-US"/>
        </w:rPr>
        <w:t xml:space="preserve"> the new indication field is not present, </w:t>
      </w:r>
      <w:r w:rsidR="00982905">
        <w:rPr>
          <w:b w:val="0"/>
          <w:sz w:val="22"/>
          <w:lang w:val="en-US"/>
        </w:rPr>
        <w:t>several alternatives</w:t>
      </w:r>
      <w:r>
        <w:rPr>
          <w:b w:val="0"/>
          <w:sz w:val="22"/>
          <w:lang w:val="en-US"/>
        </w:rPr>
        <w:t xml:space="preserve"> were agreed</w:t>
      </w:r>
      <w:r w:rsidR="00982905">
        <w:rPr>
          <w:b w:val="0"/>
          <w:sz w:val="22"/>
          <w:lang w:val="en-US"/>
        </w:rPr>
        <w:t>. From Alt 1 to Alt3, it restricts PDSCH for a certain transmission mode permanently, i.e. STRP or MTRP mode only. Also for Alt3A, it does not work if TRP#1 serves as a primary TRP that manage common control channels/beams and TRP#2 serves as a secondary TRP</w:t>
      </w:r>
      <w:r w:rsidR="00087C04">
        <w:rPr>
          <w:b w:val="0"/>
          <w:sz w:val="22"/>
          <w:lang w:val="en-US"/>
        </w:rPr>
        <w:t xml:space="preserve"> for data transmission</w:t>
      </w:r>
      <w:r w:rsidR="00982905">
        <w:rPr>
          <w:b w:val="0"/>
          <w:sz w:val="22"/>
          <w:lang w:val="en-US"/>
        </w:rPr>
        <w:t xml:space="preserve">. In this case, </w:t>
      </w:r>
      <w:r w:rsidR="00087C04">
        <w:rPr>
          <w:b w:val="0"/>
          <w:sz w:val="22"/>
          <w:lang w:val="en-US"/>
        </w:rPr>
        <w:t xml:space="preserve">all CORESETs are likely be configured to follow TCI state from TRP#1 so that a </w:t>
      </w:r>
      <w:r w:rsidR="00982905">
        <w:rPr>
          <w:b w:val="0"/>
          <w:sz w:val="22"/>
          <w:lang w:val="en-US"/>
        </w:rPr>
        <w:t>PDSCH cannot be sent</w:t>
      </w:r>
      <w:r w:rsidR="00087C04">
        <w:rPr>
          <w:b w:val="0"/>
          <w:sz w:val="22"/>
          <w:lang w:val="en-US"/>
        </w:rPr>
        <w:t xml:space="preserve"> from TRP#2</w:t>
      </w:r>
      <w:r w:rsidR="00982905">
        <w:rPr>
          <w:b w:val="0"/>
          <w:sz w:val="22"/>
          <w:lang w:val="en-US"/>
        </w:rPr>
        <w:t xml:space="preserve">. </w:t>
      </w:r>
    </w:p>
    <w:p w14:paraId="2D61333A" w14:textId="514FF579" w:rsidR="00D122A0" w:rsidRDefault="00A53CFE" w:rsidP="008659FF">
      <w:pPr>
        <w:pStyle w:val="LGTdoc1"/>
        <w:snapToGrid/>
        <w:spacing w:beforeLines="0" w:before="100" w:beforeAutospacing="1" w:after="0" w:afterAutospacing="0" w:line="360" w:lineRule="auto"/>
        <w:ind w:firstLineChars="159" w:firstLine="350"/>
        <w:contextualSpacing/>
        <w:rPr>
          <w:b w:val="0"/>
          <w:sz w:val="22"/>
          <w:lang w:val="en-US"/>
        </w:rPr>
      </w:pPr>
      <w:r>
        <w:rPr>
          <w:b w:val="0"/>
          <w:sz w:val="22"/>
          <w:lang w:val="en-US"/>
        </w:rPr>
        <w:t xml:space="preserve">In our view, Alt4 </w:t>
      </w:r>
      <w:r w:rsidR="00384866">
        <w:rPr>
          <w:b w:val="0"/>
          <w:sz w:val="22"/>
          <w:lang w:val="en-US"/>
        </w:rPr>
        <w:t>supports</w:t>
      </w:r>
      <w:r>
        <w:rPr>
          <w:b w:val="0"/>
          <w:sz w:val="22"/>
          <w:lang w:val="en-US"/>
        </w:rPr>
        <w:t xml:space="preserve"> dynamic STRP/MTRP switching </w:t>
      </w:r>
      <w:r w:rsidR="00384866">
        <w:rPr>
          <w:b w:val="0"/>
          <w:sz w:val="22"/>
          <w:lang w:val="en-US"/>
        </w:rPr>
        <w:t xml:space="preserve">and has more benefit compared to Alt3A. </w:t>
      </w:r>
      <w:r w:rsidR="00D122A0">
        <w:rPr>
          <w:b w:val="0"/>
          <w:sz w:val="22"/>
          <w:lang w:val="en-US"/>
        </w:rPr>
        <w:t xml:space="preserve">Figure 1 </w:t>
      </w:r>
      <w:r w:rsidR="00384866">
        <w:rPr>
          <w:b w:val="0"/>
          <w:sz w:val="22"/>
          <w:lang w:val="en-US"/>
        </w:rPr>
        <w:t>illustrates one exemplary scenario</w:t>
      </w:r>
      <w:r w:rsidR="00D122A0">
        <w:rPr>
          <w:b w:val="0"/>
          <w:sz w:val="22"/>
          <w:lang w:val="en-US"/>
        </w:rPr>
        <w:t>.</w:t>
      </w:r>
    </w:p>
    <w:p w14:paraId="41B2AB50" w14:textId="77777777" w:rsidR="00D122A0" w:rsidRDefault="00D122A0" w:rsidP="00D122A0">
      <w:pPr>
        <w:pStyle w:val="LGTdoc1"/>
        <w:snapToGrid/>
        <w:spacing w:beforeLines="0" w:before="100" w:beforeAutospacing="1" w:after="0" w:afterAutospacing="0" w:line="360" w:lineRule="auto"/>
        <w:contextualSpacing/>
        <w:rPr>
          <w:b w:val="0"/>
          <w:sz w:val="22"/>
          <w:lang w:val="en-US"/>
        </w:rPr>
      </w:pPr>
      <w:r w:rsidRPr="00726F92">
        <w:rPr>
          <w:b w:val="0"/>
          <w:noProof/>
          <w:sz w:val="22"/>
          <w:lang w:val="en-US"/>
        </w:rPr>
        <w:drawing>
          <wp:inline distT="0" distB="0" distL="0" distR="0" wp14:anchorId="5A7C0812" wp14:editId="20EAA5BD">
            <wp:extent cx="5734050" cy="13049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1304925"/>
                    </a:xfrm>
                    <a:prstGeom prst="rect">
                      <a:avLst/>
                    </a:prstGeom>
                    <a:noFill/>
                    <a:ln>
                      <a:noFill/>
                    </a:ln>
                  </pic:spPr>
                </pic:pic>
              </a:graphicData>
            </a:graphic>
          </wp:inline>
        </w:drawing>
      </w:r>
    </w:p>
    <w:p w14:paraId="37801992" w14:textId="2417049C" w:rsidR="00D122A0" w:rsidRPr="00D122A0" w:rsidRDefault="00D122A0" w:rsidP="00D122A0">
      <w:pPr>
        <w:pStyle w:val="LGTdoc1"/>
        <w:snapToGrid/>
        <w:spacing w:beforeLines="0" w:before="100" w:beforeAutospacing="1" w:after="0" w:afterAutospacing="0" w:line="360" w:lineRule="auto"/>
        <w:contextualSpacing/>
        <w:jc w:val="center"/>
        <w:rPr>
          <w:sz w:val="22"/>
          <w:lang w:val="en-US"/>
        </w:rPr>
      </w:pPr>
      <w:r w:rsidRPr="00D122A0">
        <w:rPr>
          <w:rFonts w:hint="eastAsia"/>
          <w:sz w:val="22"/>
          <w:lang w:val="en-US"/>
        </w:rPr>
        <w:t xml:space="preserve">Figure 1. Example of </w:t>
      </w:r>
      <w:r w:rsidRPr="00D122A0">
        <w:rPr>
          <w:sz w:val="22"/>
          <w:lang w:val="en-US"/>
        </w:rPr>
        <w:t>the PDSCH beam applicability with DCI format 1_1/1_2</w:t>
      </w:r>
    </w:p>
    <w:p w14:paraId="5FA13674" w14:textId="17C52F9F" w:rsidR="009009B1" w:rsidRDefault="00D122A0" w:rsidP="00D122A0">
      <w:pPr>
        <w:pStyle w:val="LGTdoc1"/>
        <w:snapToGrid/>
        <w:spacing w:beforeLines="0" w:before="100" w:beforeAutospacing="1" w:after="0" w:afterAutospacing="0" w:line="360" w:lineRule="auto"/>
        <w:contextualSpacing/>
        <w:rPr>
          <w:b w:val="0"/>
          <w:sz w:val="22"/>
          <w:lang w:val="en-US"/>
        </w:rPr>
      </w:pPr>
      <w:r>
        <w:rPr>
          <w:b w:val="0"/>
          <w:sz w:val="22"/>
          <w:lang w:val="en-US"/>
        </w:rPr>
        <w:t>In this figure, we assume that the indicated TCI states {TCI#1, TCI#2}</w:t>
      </w:r>
      <w:r w:rsidR="00E166A0">
        <w:rPr>
          <w:b w:val="0"/>
          <w:sz w:val="22"/>
          <w:lang w:val="en-US"/>
        </w:rPr>
        <w:t xml:space="preserve"> are available</w:t>
      </w:r>
      <w:r w:rsidR="00982905">
        <w:rPr>
          <w:b w:val="0"/>
          <w:sz w:val="22"/>
          <w:lang w:val="en-US"/>
        </w:rPr>
        <w:t>.</w:t>
      </w:r>
      <w:r>
        <w:rPr>
          <w:b w:val="0"/>
          <w:sz w:val="22"/>
          <w:lang w:val="en-US"/>
        </w:rPr>
        <w:t xml:space="preserve"> </w:t>
      </w:r>
      <w:r w:rsidR="00982905">
        <w:rPr>
          <w:b w:val="0"/>
          <w:sz w:val="22"/>
          <w:lang w:val="en-US"/>
        </w:rPr>
        <w:t>In</w:t>
      </w:r>
      <w:r>
        <w:rPr>
          <w:b w:val="0"/>
          <w:sz w:val="22"/>
          <w:lang w:val="en-US"/>
        </w:rPr>
        <w:t xml:space="preserve"> PDSCH scheduling DCI1 from TRP#1</w:t>
      </w:r>
      <w:r w:rsidR="00982905">
        <w:rPr>
          <w:b w:val="0"/>
          <w:sz w:val="22"/>
          <w:lang w:val="en-US"/>
        </w:rPr>
        <w:t xml:space="preserve">, it contains TCI field with a codepoint mapped to sub-set of TCI states {TCI#3, -}. </w:t>
      </w:r>
      <w:r w:rsidR="00813070">
        <w:rPr>
          <w:b w:val="0"/>
          <w:sz w:val="22"/>
          <w:lang w:val="en-US"/>
        </w:rPr>
        <w:t>Based on this, the TCI state update</w:t>
      </w:r>
      <w:r w:rsidR="00E166A0">
        <w:rPr>
          <w:b w:val="0"/>
          <w:sz w:val="22"/>
          <w:lang w:val="en-US"/>
        </w:rPr>
        <w:t xml:space="preserve"> via DCI1</w:t>
      </w:r>
      <w:r w:rsidR="00813070">
        <w:rPr>
          <w:b w:val="0"/>
          <w:sz w:val="22"/>
          <w:lang w:val="en-US"/>
        </w:rPr>
        <w:t xml:space="preserve"> is done after BAT1</w:t>
      </w:r>
      <w:r w:rsidR="00E166A0">
        <w:rPr>
          <w:b w:val="0"/>
          <w:sz w:val="22"/>
          <w:lang w:val="en-US"/>
        </w:rPr>
        <w:t xml:space="preserve">. Then, after BAT1, the indicated TCI states are updated from {TCI#1, TCI#2} to {TCI#3, TCI#2} according to DCI1. </w:t>
      </w:r>
      <w:r w:rsidR="00384866">
        <w:rPr>
          <w:b w:val="0"/>
          <w:sz w:val="22"/>
          <w:lang w:val="en-US"/>
        </w:rPr>
        <w:t>Assume</w:t>
      </w:r>
      <w:r w:rsidR="00E166A0">
        <w:rPr>
          <w:b w:val="0"/>
          <w:sz w:val="22"/>
          <w:lang w:val="en-US"/>
        </w:rPr>
        <w:t xml:space="preserve"> that PDSCH2 is scheduled by DCI2 from TRP#2</w:t>
      </w:r>
      <w:r w:rsidR="00384866">
        <w:rPr>
          <w:b w:val="0"/>
          <w:sz w:val="22"/>
          <w:lang w:val="en-US"/>
        </w:rPr>
        <w:t xml:space="preserve"> later</w:t>
      </w:r>
      <w:r w:rsidR="00E166A0">
        <w:rPr>
          <w:b w:val="0"/>
          <w:sz w:val="22"/>
          <w:lang w:val="en-US"/>
        </w:rPr>
        <w:t xml:space="preserve">. In this case, </w:t>
      </w:r>
      <w:r w:rsidR="00384866">
        <w:rPr>
          <w:b w:val="0"/>
          <w:sz w:val="22"/>
          <w:lang w:val="en-US"/>
        </w:rPr>
        <w:t>if</w:t>
      </w:r>
      <w:r w:rsidR="00E166A0">
        <w:rPr>
          <w:b w:val="0"/>
          <w:sz w:val="22"/>
          <w:lang w:val="en-US"/>
        </w:rPr>
        <w:t xml:space="preserve"> pre-defined</w:t>
      </w:r>
      <w:r w:rsidR="00384866">
        <w:rPr>
          <w:b w:val="0"/>
          <w:sz w:val="22"/>
          <w:lang w:val="en-US"/>
        </w:rPr>
        <w:t>/configured</w:t>
      </w:r>
      <w:r w:rsidR="00E166A0">
        <w:rPr>
          <w:b w:val="0"/>
          <w:sz w:val="22"/>
          <w:lang w:val="en-US"/>
        </w:rPr>
        <w:t xml:space="preserve"> rule using </w:t>
      </w:r>
      <w:r w:rsidR="00E166A0">
        <w:rPr>
          <w:b w:val="0"/>
          <w:sz w:val="22"/>
          <w:lang w:val="en-US"/>
        </w:rPr>
        <w:lastRenderedPageBreak/>
        <w:t>1</w:t>
      </w:r>
      <w:r w:rsidR="00E166A0" w:rsidRPr="00E166A0">
        <w:rPr>
          <w:b w:val="0"/>
          <w:sz w:val="22"/>
          <w:vertAlign w:val="superscript"/>
          <w:lang w:val="en-US"/>
        </w:rPr>
        <w:t>st</w:t>
      </w:r>
      <w:r w:rsidR="00E166A0">
        <w:rPr>
          <w:b w:val="0"/>
          <w:sz w:val="22"/>
          <w:lang w:val="en-US"/>
        </w:rPr>
        <w:t xml:space="preserve"> indicated TCI state is applied for PDSCH2 reception</w:t>
      </w:r>
      <w:r w:rsidR="00726F92">
        <w:rPr>
          <w:b w:val="0"/>
          <w:sz w:val="22"/>
          <w:lang w:val="en-US"/>
        </w:rPr>
        <w:t xml:space="preserve"> </w:t>
      </w:r>
      <w:r w:rsidR="00384866">
        <w:rPr>
          <w:b w:val="0"/>
          <w:sz w:val="22"/>
          <w:lang w:val="en-US"/>
        </w:rPr>
        <w:t>(Alt1 or Alt2)</w:t>
      </w:r>
      <w:r w:rsidR="00E166A0">
        <w:rPr>
          <w:b w:val="0"/>
          <w:sz w:val="22"/>
          <w:lang w:val="en-US"/>
        </w:rPr>
        <w:t>, it</w:t>
      </w:r>
      <w:r w:rsidR="00384866">
        <w:rPr>
          <w:b w:val="0"/>
          <w:sz w:val="22"/>
          <w:lang w:val="en-US"/>
        </w:rPr>
        <w:t xml:space="preserve"> leads that both PDSCH1 and PDSCH2 needs to be received from TRP#1. If Alt3 is applied in this example, both PDSCH1 and PDSCH2 needs to be received from both TRPs. If Alt3A is applied, which TRP is applied</w:t>
      </w:r>
      <w:r w:rsidR="00015FF8">
        <w:rPr>
          <w:b w:val="0"/>
          <w:sz w:val="22"/>
          <w:lang w:val="en-US"/>
        </w:rPr>
        <w:t xml:space="preserve"> for PDSCH1 and PDSCH2</w:t>
      </w:r>
      <w:r w:rsidR="00384866">
        <w:rPr>
          <w:b w:val="0"/>
          <w:sz w:val="22"/>
          <w:lang w:val="en-US"/>
        </w:rPr>
        <w:t xml:space="preserve"> depend</w:t>
      </w:r>
      <w:r w:rsidR="00015FF8">
        <w:rPr>
          <w:b w:val="0"/>
          <w:sz w:val="22"/>
          <w:lang w:val="en-US"/>
        </w:rPr>
        <w:t>s</w:t>
      </w:r>
      <w:r w:rsidR="00384866">
        <w:rPr>
          <w:b w:val="0"/>
          <w:sz w:val="22"/>
          <w:lang w:val="en-US"/>
        </w:rPr>
        <w:t xml:space="preserve"> on the TCI configured for the CORESET</w:t>
      </w:r>
      <w:r w:rsidR="00015FF8">
        <w:rPr>
          <w:b w:val="0"/>
          <w:sz w:val="22"/>
          <w:lang w:val="en-US"/>
        </w:rPr>
        <w:t>(s) for DCI1 and DCI2, respectively, where all CORESETs may be associated to one TRP in the above mentioned scenario. If Alt4 is applied, PDSCH1 is received by TRP#1 with TCI#1, PDSCH2 is received by TRP#2 with TCI#2</w:t>
      </w:r>
      <w:r w:rsidR="00726F92">
        <w:rPr>
          <w:b w:val="0"/>
          <w:sz w:val="22"/>
          <w:lang w:val="en-US"/>
        </w:rPr>
        <w:t xml:space="preserve">. </w:t>
      </w:r>
      <w:r w:rsidR="009009B1">
        <w:rPr>
          <w:b w:val="0"/>
          <w:sz w:val="22"/>
          <w:lang w:val="en-US"/>
        </w:rPr>
        <w:t xml:space="preserve">From NW perspective, it is natural that a TRP </w:t>
      </w:r>
      <w:r w:rsidR="00015FF8">
        <w:rPr>
          <w:b w:val="0"/>
          <w:sz w:val="22"/>
          <w:lang w:val="en-US"/>
        </w:rPr>
        <w:t xml:space="preserve">that wants to </w:t>
      </w:r>
      <w:r w:rsidR="009009B1">
        <w:rPr>
          <w:b w:val="0"/>
          <w:sz w:val="22"/>
          <w:lang w:val="en-US"/>
        </w:rPr>
        <w:t xml:space="preserve">update </w:t>
      </w:r>
      <w:r w:rsidR="00015FF8">
        <w:rPr>
          <w:b w:val="0"/>
          <w:sz w:val="22"/>
          <w:lang w:val="en-US"/>
        </w:rPr>
        <w:t xml:space="preserve">its serving </w:t>
      </w:r>
      <w:r w:rsidR="009009B1">
        <w:rPr>
          <w:b w:val="0"/>
          <w:sz w:val="22"/>
          <w:lang w:val="en-US"/>
        </w:rPr>
        <w:t xml:space="preserve">beam </w:t>
      </w:r>
      <w:r w:rsidR="00015FF8">
        <w:rPr>
          <w:b w:val="0"/>
          <w:sz w:val="22"/>
          <w:lang w:val="en-US"/>
        </w:rPr>
        <w:t>is more likely to send DL traffic because it is not very urgent/critical to update a beam for the UE having no data to send or receive from NW perspective</w:t>
      </w:r>
      <w:r w:rsidR="009009B1">
        <w:rPr>
          <w:b w:val="0"/>
          <w:sz w:val="22"/>
          <w:lang w:val="en-US"/>
        </w:rPr>
        <w:t>. With this principle, we think that STRP/MTRP scheme for the scheduled PDSCH can be determined by the TCI field in DCI. If the first subset of TCI states is indicated by the DCI, the scheduling PDSCH is for STRP with the indicated TCI state(s). If the second subset of TCI states is indicated by the DCI, the scheduling PDSCH is for STRP with the indicated TCI state(s). If full set of TCI states is indicated by the DCI, the scheduling PDSCH is for MTRP with the indicated TCI state(s)</w:t>
      </w:r>
      <w:r w:rsidR="00F42E69">
        <w:rPr>
          <w:b w:val="0"/>
          <w:sz w:val="22"/>
          <w:lang w:val="en-US"/>
        </w:rPr>
        <w:t>.</w:t>
      </w:r>
      <w:r w:rsidR="007C7605">
        <w:rPr>
          <w:b w:val="0"/>
          <w:sz w:val="22"/>
          <w:lang w:val="en-US"/>
        </w:rPr>
        <w:t xml:space="preserve"> It means that the beam update and STRP/MTRP switching is coupled. </w:t>
      </w:r>
      <w:r w:rsidR="00B06719">
        <w:rPr>
          <w:b w:val="0"/>
          <w:sz w:val="22"/>
          <w:lang w:val="en-US"/>
        </w:rPr>
        <w:t xml:space="preserve">Compared with the option of configuring the new field, Alt4 </w:t>
      </w:r>
      <w:r w:rsidR="007C7605">
        <w:rPr>
          <w:b w:val="0"/>
          <w:sz w:val="22"/>
          <w:lang w:val="en-US"/>
        </w:rPr>
        <w:t>slightly reduce the flexibility of beam update</w:t>
      </w:r>
      <w:r w:rsidR="00B06719">
        <w:rPr>
          <w:b w:val="0"/>
          <w:sz w:val="22"/>
          <w:lang w:val="en-US"/>
        </w:rPr>
        <w:t xml:space="preserve"> due to the coupling of unified TCI update with STRP/MTRP switching, however</w:t>
      </w:r>
      <w:r w:rsidR="007C7605">
        <w:rPr>
          <w:b w:val="0"/>
          <w:sz w:val="22"/>
          <w:lang w:val="en-US"/>
        </w:rPr>
        <w:t xml:space="preserve">, it </w:t>
      </w:r>
      <w:r w:rsidR="00B06719">
        <w:rPr>
          <w:b w:val="0"/>
          <w:sz w:val="22"/>
          <w:lang w:val="en-US"/>
        </w:rPr>
        <w:t>supports</w:t>
      </w:r>
      <w:r w:rsidR="007C7605">
        <w:rPr>
          <w:b w:val="0"/>
          <w:sz w:val="22"/>
          <w:lang w:val="en-US"/>
        </w:rPr>
        <w:t xml:space="preserve"> STRP/MTRP dynamic switching without </w:t>
      </w:r>
      <w:r w:rsidR="00B06719">
        <w:rPr>
          <w:b w:val="0"/>
          <w:sz w:val="22"/>
          <w:lang w:val="en-US"/>
        </w:rPr>
        <w:t>increasing DCI payload so that NW can have better option for BM operation</w:t>
      </w:r>
      <w:r w:rsidR="007C7605">
        <w:rPr>
          <w:b w:val="0"/>
          <w:sz w:val="22"/>
          <w:lang w:val="en-US"/>
        </w:rPr>
        <w:t>.</w:t>
      </w:r>
      <w:r w:rsidR="00F42E69">
        <w:rPr>
          <w:b w:val="0"/>
          <w:sz w:val="22"/>
          <w:lang w:val="en-US"/>
        </w:rPr>
        <w:t xml:space="preserve"> </w:t>
      </w:r>
      <w:r w:rsidR="007C7605">
        <w:rPr>
          <w:b w:val="0"/>
          <w:sz w:val="22"/>
          <w:lang w:val="en-US"/>
        </w:rPr>
        <w:t>In</w:t>
      </w:r>
      <w:r w:rsidR="00F42E69" w:rsidRPr="00E2688B">
        <w:rPr>
          <w:b w:val="0"/>
          <w:sz w:val="22"/>
          <w:lang w:val="en-US"/>
        </w:rPr>
        <w:t xml:space="preserve"> the case</w:t>
      </w:r>
      <w:r w:rsidR="00B06719">
        <w:rPr>
          <w:b w:val="0"/>
          <w:sz w:val="22"/>
          <w:lang w:val="en-US"/>
        </w:rPr>
        <w:t xml:space="preserve"> that </w:t>
      </w:r>
      <w:r w:rsidR="00B06719" w:rsidRPr="00E2688B">
        <w:rPr>
          <w:b w:val="0"/>
          <w:sz w:val="22"/>
          <w:lang w:val="en-US"/>
        </w:rPr>
        <w:t>PDSCH is scheduled before t</w:t>
      </w:r>
      <w:r w:rsidR="00B06719" w:rsidRPr="007F7726">
        <w:rPr>
          <w:b w:val="0"/>
          <w:sz w:val="22"/>
          <w:lang w:val="en-US"/>
        </w:rPr>
        <w:t>imeD</w:t>
      </w:r>
      <w:r w:rsidR="00B06719" w:rsidRPr="00E2688B">
        <w:rPr>
          <w:b w:val="0"/>
          <w:sz w:val="22"/>
          <w:lang w:val="en-US"/>
        </w:rPr>
        <w:t>uration</w:t>
      </w:r>
      <w:r w:rsidR="00B06719">
        <w:rPr>
          <w:rFonts w:hint="eastAsia"/>
          <w:b w:val="0"/>
          <w:sz w:val="22"/>
          <w:lang w:val="en-US"/>
        </w:rPr>
        <w:t>F</w:t>
      </w:r>
      <w:r w:rsidR="00B06719" w:rsidRPr="00E2688B">
        <w:rPr>
          <w:b w:val="0"/>
          <w:sz w:val="22"/>
          <w:lang w:val="en-US"/>
        </w:rPr>
        <w:t>orQCL</w:t>
      </w:r>
      <w:r w:rsidR="00F42E69" w:rsidRPr="00E2688B">
        <w:rPr>
          <w:b w:val="0"/>
          <w:sz w:val="22"/>
          <w:lang w:val="en-US"/>
        </w:rPr>
        <w:t xml:space="preserve">, </w:t>
      </w:r>
      <w:r w:rsidR="00B06719">
        <w:rPr>
          <w:b w:val="0"/>
          <w:sz w:val="22"/>
          <w:lang w:val="en-US"/>
        </w:rPr>
        <w:t>Alt4</w:t>
      </w:r>
      <w:r w:rsidR="007C7605">
        <w:rPr>
          <w:b w:val="0"/>
          <w:sz w:val="22"/>
          <w:lang w:val="en-US"/>
        </w:rPr>
        <w:t xml:space="preserve"> is still applicable when the UE </w:t>
      </w:r>
      <w:r w:rsidR="00B06719">
        <w:rPr>
          <w:b w:val="0"/>
          <w:sz w:val="22"/>
          <w:lang w:val="en-US"/>
        </w:rPr>
        <w:t>supports</w:t>
      </w:r>
      <w:r w:rsidR="007C7605">
        <w:rPr>
          <w:b w:val="0"/>
          <w:sz w:val="22"/>
          <w:lang w:val="en-US"/>
        </w:rPr>
        <w:t xml:space="preserve"> two default beams. </w:t>
      </w:r>
      <w:r w:rsidR="00B06719">
        <w:rPr>
          <w:b w:val="0"/>
          <w:sz w:val="22"/>
          <w:lang w:val="en-US"/>
        </w:rPr>
        <w:t>For the UEs supporting only one default beam</w:t>
      </w:r>
      <w:r w:rsidR="007C7605">
        <w:rPr>
          <w:b w:val="0"/>
          <w:sz w:val="22"/>
          <w:lang w:val="en-US"/>
        </w:rPr>
        <w:t>, i.e., one buffer beam</w:t>
      </w:r>
      <w:r w:rsidR="00B06719">
        <w:rPr>
          <w:b w:val="0"/>
          <w:sz w:val="22"/>
          <w:lang w:val="en-US"/>
        </w:rPr>
        <w:t xml:space="preserve">, the beam for the PDSCH needs to </w:t>
      </w:r>
      <w:r w:rsidR="007C7605">
        <w:rPr>
          <w:b w:val="0"/>
          <w:sz w:val="22"/>
          <w:lang w:val="en-US"/>
        </w:rPr>
        <w:t xml:space="preserve">be determined </w:t>
      </w:r>
      <w:r w:rsidR="00B06719">
        <w:rPr>
          <w:b w:val="0"/>
          <w:sz w:val="22"/>
          <w:lang w:val="en-US"/>
        </w:rPr>
        <w:t xml:space="preserve">by the </w:t>
      </w:r>
      <w:r w:rsidR="007C7605">
        <w:rPr>
          <w:b w:val="0"/>
          <w:sz w:val="22"/>
          <w:lang w:val="en-US"/>
        </w:rPr>
        <w:t>1</w:t>
      </w:r>
      <w:r w:rsidR="007C7605" w:rsidRPr="007C7605">
        <w:rPr>
          <w:b w:val="0"/>
          <w:sz w:val="22"/>
          <w:vertAlign w:val="superscript"/>
          <w:lang w:val="en-US"/>
        </w:rPr>
        <w:t>st</w:t>
      </w:r>
      <w:r w:rsidR="007C7605">
        <w:rPr>
          <w:b w:val="0"/>
          <w:sz w:val="22"/>
          <w:lang w:val="en-US"/>
        </w:rPr>
        <w:t xml:space="preserve"> indicated TCI state as similar to legacy default beam determination</w:t>
      </w:r>
      <w:r w:rsidR="00B06719">
        <w:rPr>
          <w:b w:val="0"/>
          <w:sz w:val="22"/>
          <w:lang w:val="en-US"/>
        </w:rPr>
        <w:t xml:space="preserve"> methods for MTRP</w:t>
      </w:r>
      <w:r w:rsidR="007C7605">
        <w:rPr>
          <w:b w:val="0"/>
          <w:sz w:val="22"/>
          <w:lang w:val="en-US"/>
        </w:rPr>
        <w:t xml:space="preserve">. </w:t>
      </w:r>
    </w:p>
    <w:p w14:paraId="6DCC7436" w14:textId="77777777" w:rsidR="007F7726" w:rsidRDefault="007F7726" w:rsidP="00916A75">
      <w:pPr>
        <w:pStyle w:val="LGTdoc1"/>
        <w:snapToGrid/>
        <w:spacing w:beforeLines="0" w:before="100" w:beforeAutospacing="1" w:after="0" w:afterAutospacing="0" w:line="360" w:lineRule="auto"/>
        <w:contextualSpacing/>
        <w:rPr>
          <w:sz w:val="22"/>
          <w:lang w:val="pt-BR"/>
        </w:rPr>
      </w:pPr>
    </w:p>
    <w:p w14:paraId="253F0A62" w14:textId="5BC0777E" w:rsidR="00916A75" w:rsidRPr="007F7726" w:rsidRDefault="00916A75" w:rsidP="00916A75">
      <w:pPr>
        <w:pStyle w:val="LGTdoc1"/>
        <w:snapToGrid/>
        <w:spacing w:beforeLines="0" w:before="100" w:beforeAutospacing="1" w:after="0" w:afterAutospacing="0" w:line="360" w:lineRule="auto"/>
        <w:contextualSpacing/>
        <w:rPr>
          <w:sz w:val="24"/>
          <w:lang w:val="pt-BR"/>
        </w:rPr>
      </w:pPr>
      <w:r w:rsidRPr="007F7726">
        <w:rPr>
          <w:rFonts w:hint="eastAsia"/>
          <w:sz w:val="24"/>
          <w:lang w:val="pt-BR"/>
        </w:rPr>
        <w:t>Proposal #</w:t>
      </w:r>
      <w:r w:rsidR="007F7726" w:rsidRPr="007F7726">
        <w:rPr>
          <w:sz w:val="24"/>
          <w:lang w:val="pt-BR"/>
        </w:rPr>
        <w:t>2</w:t>
      </w:r>
      <w:r w:rsidRPr="007F7726">
        <w:rPr>
          <w:rFonts w:hint="eastAsia"/>
          <w:sz w:val="24"/>
          <w:lang w:val="pt-BR"/>
        </w:rPr>
        <w:t xml:space="preserve">: </w:t>
      </w:r>
      <w:r w:rsidRPr="007F7726">
        <w:rPr>
          <w:sz w:val="24"/>
          <w:lang w:val="pt-BR"/>
        </w:rPr>
        <w:t>For S-DCI based PDSCH reception, the indicated TCI states can be applied for STRP/MTRP operation depending on new indication field in scheduling DCI</w:t>
      </w:r>
    </w:p>
    <w:p w14:paraId="71494C60" w14:textId="7860C7A0" w:rsidR="00767D48" w:rsidRPr="007F7726" w:rsidRDefault="00EA5B03" w:rsidP="00C826BF">
      <w:pPr>
        <w:pStyle w:val="LGTdoc1"/>
        <w:numPr>
          <w:ilvl w:val="0"/>
          <w:numId w:val="24"/>
        </w:numPr>
        <w:snapToGrid/>
        <w:spacing w:beforeLines="0" w:before="100" w:beforeAutospacing="1" w:after="0" w:afterAutospacing="0" w:line="360" w:lineRule="auto"/>
        <w:contextualSpacing/>
        <w:rPr>
          <w:sz w:val="24"/>
          <w:lang w:val="pt-BR"/>
        </w:rPr>
      </w:pPr>
      <w:r>
        <w:rPr>
          <w:sz w:val="24"/>
          <w:lang w:val="pt-BR"/>
        </w:rPr>
        <w:t>For codepoint ‘11’ on TCI selection</w:t>
      </w:r>
      <w:r w:rsidR="00916A75" w:rsidRPr="007F7726">
        <w:rPr>
          <w:sz w:val="24"/>
          <w:lang w:val="pt-BR"/>
        </w:rPr>
        <w:t xml:space="preserve"> field</w:t>
      </w:r>
      <w:r>
        <w:rPr>
          <w:sz w:val="24"/>
          <w:lang w:val="pt-BR"/>
        </w:rPr>
        <w:t>, the UE shall apply the both indicated TCI states with swapping the order of the TCI states</w:t>
      </w:r>
    </w:p>
    <w:p w14:paraId="00126518" w14:textId="11AFD50A" w:rsidR="00767D48" w:rsidRDefault="00B06719" w:rsidP="007F7726">
      <w:pPr>
        <w:pStyle w:val="LGTdoc1"/>
        <w:numPr>
          <w:ilvl w:val="0"/>
          <w:numId w:val="24"/>
        </w:numPr>
        <w:snapToGrid/>
        <w:spacing w:beforeLines="0" w:before="100" w:beforeAutospacing="1" w:after="0" w:afterAutospacing="0" w:line="360" w:lineRule="auto"/>
        <w:contextualSpacing/>
        <w:rPr>
          <w:sz w:val="24"/>
          <w:lang w:val="pt-BR"/>
        </w:rPr>
      </w:pPr>
      <w:r>
        <w:rPr>
          <w:sz w:val="24"/>
          <w:lang w:val="pt-BR"/>
        </w:rPr>
        <w:t>When n</w:t>
      </w:r>
      <w:r w:rsidR="00916A75" w:rsidRPr="007F7726">
        <w:rPr>
          <w:sz w:val="24"/>
          <w:lang w:val="pt-BR"/>
        </w:rPr>
        <w:t xml:space="preserve">ew indication field is not present, </w:t>
      </w:r>
      <w:r w:rsidR="00A53CFE">
        <w:rPr>
          <w:sz w:val="24"/>
          <w:lang w:val="pt-BR"/>
        </w:rPr>
        <w:t xml:space="preserve">support Alt4 for </w:t>
      </w:r>
      <w:r w:rsidR="00916A75" w:rsidRPr="007F7726">
        <w:rPr>
          <w:sz w:val="24"/>
          <w:lang w:val="pt-BR"/>
        </w:rPr>
        <w:t xml:space="preserve">dynamic </w:t>
      </w:r>
      <w:r w:rsidR="00A53CFE">
        <w:rPr>
          <w:sz w:val="24"/>
          <w:lang w:val="pt-BR"/>
        </w:rPr>
        <w:t>switching</w:t>
      </w:r>
      <w:r w:rsidR="00A53CFE" w:rsidRPr="007F7726">
        <w:rPr>
          <w:sz w:val="24"/>
          <w:lang w:val="pt-BR"/>
        </w:rPr>
        <w:t xml:space="preserve"> </w:t>
      </w:r>
      <w:r w:rsidR="00916A75" w:rsidRPr="007F7726">
        <w:rPr>
          <w:sz w:val="24"/>
          <w:lang w:val="pt-BR"/>
        </w:rPr>
        <w:t xml:space="preserve">between STRP and MTRP </w:t>
      </w:r>
      <w:r w:rsidR="00E2688B" w:rsidRPr="007F7726">
        <w:rPr>
          <w:sz w:val="24"/>
          <w:lang w:val="pt-BR"/>
        </w:rPr>
        <w:t>for the scheduled PDSCH</w:t>
      </w:r>
    </w:p>
    <w:p w14:paraId="6E24C4F3" w14:textId="77777777" w:rsidR="00F0714D" w:rsidRDefault="00F0714D" w:rsidP="00E16041">
      <w:pPr>
        <w:pStyle w:val="LGTdoc1"/>
        <w:snapToGrid/>
        <w:spacing w:beforeLines="0" w:before="100" w:beforeAutospacing="1" w:after="0" w:afterAutospacing="0" w:line="360" w:lineRule="auto"/>
        <w:ind w:firstLine="330"/>
        <w:contextualSpacing/>
        <w:rPr>
          <w:b w:val="0"/>
          <w:sz w:val="22"/>
          <w:lang w:val="pt-BR"/>
        </w:rPr>
      </w:pPr>
    </w:p>
    <w:p w14:paraId="566F3CA2" w14:textId="08B0D939" w:rsidR="006362BE" w:rsidRDefault="00AB48D5" w:rsidP="006362BE">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w:t>
      </w:r>
      <w:r>
        <w:rPr>
          <w:rFonts w:hint="eastAsia"/>
          <w:b w:val="0"/>
          <w:sz w:val="22"/>
          <w:lang w:val="en-US"/>
        </w:rPr>
        <w:t>or M-DCI based MTRP</w:t>
      </w:r>
      <w:r>
        <w:rPr>
          <w:b w:val="0"/>
          <w:sz w:val="22"/>
          <w:lang w:val="en-US"/>
        </w:rPr>
        <w:t xml:space="preserve">, TCI field in a DCI </w:t>
      </w:r>
      <w:r w:rsidR="005910E2">
        <w:rPr>
          <w:b w:val="0"/>
          <w:sz w:val="22"/>
          <w:lang w:val="en-US"/>
        </w:rPr>
        <w:t xml:space="preserve">transmitted from </w:t>
      </w:r>
      <w:r>
        <w:rPr>
          <w:b w:val="0"/>
          <w:sz w:val="22"/>
          <w:lang w:val="en-US"/>
        </w:rPr>
        <w:t xml:space="preserve">one CORESET pool index can indicate joint/DL/UL TCI state(s) specific to the same CORESET pool index value and the indicated TCI state(s) can be applied for </w:t>
      </w:r>
      <w:r w:rsidR="005910E2">
        <w:rPr>
          <w:b w:val="0"/>
          <w:sz w:val="22"/>
          <w:lang w:val="en-US"/>
        </w:rPr>
        <w:t xml:space="preserve">those DL/UL channels sharing the same TCI state. For the </w:t>
      </w:r>
      <w:r w:rsidR="0041431F">
        <w:rPr>
          <w:b w:val="0"/>
          <w:sz w:val="22"/>
          <w:lang w:val="en-US"/>
        </w:rPr>
        <w:t xml:space="preserve">channels/signals </w:t>
      </w:r>
      <w:r w:rsidR="005910E2">
        <w:rPr>
          <w:b w:val="0"/>
          <w:sz w:val="22"/>
          <w:lang w:val="en-US"/>
        </w:rPr>
        <w:t xml:space="preserve">other than </w:t>
      </w:r>
      <w:r>
        <w:rPr>
          <w:b w:val="0"/>
          <w:sz w:val="22"/>
          <w:lang w:val="en-US"/>
        </w:rPr>
        <w:t>PDCCH and PDSCH</w:t>
      </w:r>
      <w:r w:rsidR="007320D8">
        <w:rPr>
          <w:b w:val="0"/>
          <w:sz w:val="22"/>
          <w:lang w:val="en-US"/>
        </w:rPr>
        <w:t xml:space="preserve">, </w:t>
      </w:r>
      <w:r w:rsidR="005910E2">
        <w:rPr>
          <w:b w:val="0"/>
          <w:sz w:val="22"/>
          <w:lang w:val="en-US"/>
        </w:rPr>
        <w:t>those channels triggered by DCI can follow the same principle as PDSCH, i.e. TCI follows the CORESET pool of the DCI</w:t>
      </w:r>
      <w:r w:rsidR="008F3BC0">
        <w:rPr>
          <w:b w:val="0"/>
          <w:sz w:val="22"/>
          <w:lang w:val="en-US"/>
        </w:rPr>
        <w:t xml:space="preserve"> such as PUCCH transmission </w:t>
      </w:r>
      <w:r w:rsidR="0041431F">
        <w:rPr>
          <w:b w:val="0"/>
          <w:sz w:val="22"/>
          <w:lang w:val="en-US"/>
        </w:rPr>
        <w:t xml:space="preserve">for HARQ-ACK can follow the indicated TCI when corresponding DL grant is </w:t>
      </w:r>
      <w:r w:rsidR="008F3BC0">
        <w:rPr>
          <w:b w:val="0"/>
          <w:sz w:val="22"/>
          <w:lang w:val="en-US"/>
        </w:rPr>
        <w:t xml:space="preserve">scheduled </w:t>
      </w:r>
      <w:r w:rsidR="0041431F">
        <w:rPr>
          <w:b w:val="0"/>
          <w:sz w:val="22"/>
          <w:lang w:val="en-US"/>
        </w:rPr>
        <w:t xml:space="preserve">via a CORESET </w:t>
      </w:r>
      <w:r w:rsidR="0041431F">
        <w:rPr>
          <w:b w:val="0"/>
          <w:sz w:val="22"/>
          <w:lang w:val="en-US"/>
        </w:rPr>
        <w:lastRenderedPageBreak/>
        <w:t>pool</w:t>
      </w:r>
      <w:r w:rsidR="005910E2">
        <w:rPr>
          <w:b w:val="0"/>
          <w:sz w:val="22"/>
          <w:lang w:val="en-US"/>
        </w:rPr>
        <w:t>. For other channels that does not triggered by DCI, explicit indication would be necessary. For PUCCH, for example, same solution as for S-DCI MTRP PUCCH can be used, i.e. PUCCH resource grouping by RRC. SRS resource grouping can also be supported in this regard.</w:t>
      </w:r>
      <w:r w:rsidR="00E27DAC">
        <w:rPr>
          <w:b w:val="0"/>
          <w:sz w:val="22"/>
          <w:lang w:val="en-US"/>
        </w:rPr>
        <w:t xml:space="preserve"> </w:t>
      </w:r>
      <w:r w:rsidR="00330292">
        <w:rPr>
          <w:b w:val="0"/>
          <w:sz w:val="22"/>
          <w:lang w:val="en-US"/>
        </w:rPr>
        <w:t>To be specific</w:t>
      </w:r>
      <w:r w:rsidR="00C06092">
        <w:rPr>
          <w:b w:val="0"/>
          <w:sz w:val="22"/>
          <w:lang w:val="en-US"/>
        </w:rPr>
        <w:t xml:space="preserve">, </w:t>
      </w:r>
      <w:r w:rsidR="007A3238">
        <w:rPr>
          <w:b w:val="0"/>
          <w:sz w:val="22"/>
          <w:lang w:val="en-US"/>
        </w:rPr>
        <w:t xml:space="preserve">network can configure which subset of TCI states to be applied for each SRS resource group or resource set regardless of S-DCI or M-DCI and also regardless of the number of SRS resource sets. </w:t>
      </w:r>
      <w:r w:rsidR="00330292">
        <w:rPr>
          <w:b w:val="0"/>
          <w:sz w:val="22"/>
          <w:lang w:val="en-US"/>
        </w:rPr>
        <w:t>In addition</w:t>
      </w:r>
      <w:r w:rsidR="00D31BCA">
        <w:rPr>
          <w:b w:val="0"/>
          <w:sz w:val="22"/>
          <w:lang w:val="en-US"/>
        </w:rPr>
        <w:t xml:space="preserve">, </w:t>
      </w:r>
      <w:r w:rsidR="007A3238">
        <w:rPr>
          <w:b w:val="0"/>
          <w:sz w:val="22"/>
          <w:lang w:val="en-US"/>
        </w:rPr>
        <w:t xml:space="preserve">it is beneficial to consider unified TCI applicability per SRS resource, e.g. to support different beam with an SRS resource set, e.g. BM SRS, CB SRS. In addition, legacy beam indication via spatial relation configured for some SRS resources should also be allowed even when N=2 unified TCI. </w:t>
      </w:r>
      <w:r w:rsidR="005910E2">
        <w:rPr>
          <w:b w:val="0"/>
          <w:sz w:val="22"/>
          <w:lang w:val="en-US"/>
        </w:rPr>
        <w:t xml:space="preserve">For UL TCI association, we propose not directly to use </w:t>
      </w:r>
      <w:r w:rsidR="005910E2" w:rsidRPr="002676B7">
        <w:rPr>
          <w:b w:val="0"/>
          <w:i/>
          <w:sz w:val="22"/>
          <w:lang w:val="en-US"/>
        </w:rPr>
        <w:t>coresetPoolIndex</w:t>
      </w:r>
      <w:r w:rsidR="005910E2">
        <w:rPr>
          <w:b w:val="0"/>
          <w:sz w:val="22"/>
          <w:lang w:val="en-US"/>
        </w:rPr>
        <w:t xml:space="preserve"> in order to align design for both S-DCI MTRP and M-DCI MTRP. For example, UL TCI state index can be introduced and tagged into PUCCH/SRS resource group. </w:t>
      </w:r>
    </w:p>
    <w:p w14:paraId="19CAE02E" w14:textId="77777777" w:rsidR="007F7726" w:rsidRDefault="007F7726" w:rsidP="006362BE">
      <w:pPr>
        <w:pStyle w:val="LGTdoc1"/>
        <w:snapToGrid/>
        <w:spacing w:beforeLines="0" w:before="100" w:beforeAutospacing="1" w:after="0" w:afterAutospacing="0" w:line="360" w:lineRule="auto"/>
        <w:ind w:firstLine="330"/>
        <w:contextualSpacing/>
        <w:rPr>
          <w:b w:val="0"/>
          <w:sz w:val="22"/>
          <w:lang w:val="en-US"/>
        </w:rPr>
      </w:pPr>
    </w:p>
    <w:p w14:paraId="60C17A8E" w14:textId="4A5F3261" w:rsidR="00D16434" w:rsidRPr="00104CA4" w:rsidRDefault="005910E2" w:rsidP="002676B7">
      <w:pPr>
        <w:pStyle w:val="LGTdoc1"/>
        <w:snapToGrid/>
        <w:spacing w:beforeLines="0" w:before="100" w:beforeAutospacing="1" w:after="0" w:afterAutospacing="0" w:line="360" w:lineRule="auto"/>
        <w:contextualSpacing/>
        <w:rPr>
          <w:sz w:val="24"/>
          <w:szCs w:val="24"/>
          <w:lang w:val="en-US"/>
        </w:rPr>
      </w:pPr>
      <w:r w:rsidRPr="00104CA4">
        <w:rPr>
          <w:sz w:val="24"/>
          <w:szCs w:val="24"/>
          <w:lang w:val="en-US"/>
        </w:rPr>
        <w:t>Proposal #</w:t>
      </w:r>
      <w:r w:rsidR="00726F92">
        <w:rPr>
          <w:sz w:val="24"/>
          <w:szCs w:val="24"/>
          <w:lang w:val="en-US"/>
        </w:rPr>
        <w:t>3</w:t>
      </w:r>
      <w:r w:rsidRPr="00104CA4">
        <w:rPr>
          <w:sz w:val="24"/>
          <w:szCs w:val="24"/>
          <w:lang w:val="en-US"/>
        </w:rPr>
        <w:t xml:space="preserve">: For M-DCI MTRP, </w:t>
      </w:r>
    </w:p>
    <w:p w14:paraId="1FC2A814" w14:textId="34D4625D" w:rsidR="00D16434" w:rsidRPr="00104CA4" w:rsidRDefault="00D16434" w:rsidP="00437B2F">
      <w:pPr>
        <w:pStyle w:val="LGTdoc1"/>
        <w:numPr>
          <w:ilvl w:val="0"/>
          <w:numId w:val="24"/>
        </w:numPr>
        <w:snapToGrid/>
        <w:spacing w:beforeLines="0" w:before="100" w:beforeAutospacing="1" w:after="0" w:afterAutospacing="0" w:line="360" w:lineRule="auto"/>
        <w:contextualSpacing/>
        <w:rPr>
          <w:sz w:val="24"/>
          <w:szCs w:val="24"/>
          <w:lang w:val="pt-BR"/>
        </w:rPr>
      </w:pPr>
      <w:r w:rsidRPr="00104CA4">
        <w:rPr>
          <w:sz w:val="24"/>
          <w:szCs w:val="24"/>
          <w:lang w:val="pt-BR"/>
        </w:rPr>
        <w:t>I</w:t>
      </w:r>
      <w:r w:rsidR="005910E2" w:rsidRPr="00104CA4">
        <w:rPr>
          <w:sz w:val="24"/>
          <w:szCs w:val="24"/>
          <w:lang w:val="pt-BR"/>
        </w:rPr>
        <w:t>mplicit association with coresetPoolIndex can be used for those channels</w:t>
      </w:r>
      <w:r w:rsidRPr="00104CA4">
        <w:rPr>
          <w:sz w:val="24"/>
          <w:szCs w:val="24"/>
          <w:lang w:val="pt-BR"/>
        </w:rPr>
        <w:t>/RSs</w:t>
      </w:r>
      <w:r w:rsidR="005910E2" w:rsidRPr="00104CA4">
        <w:rPr>
          <w:sz w:val="24"/>
          <w:szCs w:val="24"/>
          <w:lang w:val="pt-BR"/>
        </w:rPr>
        <w:t xml:space="preserve"> triggered by DCI</w:t>
      </w:r>
      <w:r w:rsidRPr="00104CA4">
        <w:rPr>
          <w:sz w:val="24"/>
          <w:szCs w:val="24"/>
          <w:lang w:val="pt-BR"/>
        </w:rPr>
        <w:t>.</w:t>
      </w:r>
    </w:p>
    <w:p w14:paraId="52CE56F6" w14:textId="77777777" w:rsidR="00D16434" w:rsidRPr="00104CA4" w:rsidRDefault="00D16434" w:rsidP="00437B2F">
      <w:pPr>
        <w:pStyle w:val="LGTdoc1"/>
        <w:numPr>
          <w:ilvl w:val="0"/>
          <w:numId w:val="24"/>
        </w:numPr>
        <w:snapToGrid/>
        <w:spacing w:beforeLines="0" w:before="100" w:beforeAutospacing="1" w:after="0" w:afterAutospacing="0" w:line="360" w:lineRule="auto"/>
        <w:contextualSpacing/>
        <w:rPr>
          <w:sz w:val="24"/>
          <w:szCs w:val="24"/>
          <w:lang w:val="pt-BR"/>
        </w:rPr>
      </w:pPr>
      <w:r w:rsidRPr="00104CA4">
        <w:rPr>
          <w:sz w:val="24"/>
          <w:szCs w:val="24"/>
          <w:lang w:val="pt-BR"/>
        </w:rPr>
        <w:t>Explicit association is used for other channels/RSs</w:t>
      </w:r>
    </w:p>
    <w:p w14:paraId="7CF67E7E" w14:textId="736D85C4" w:rsidR="005910E2" w:rsidRPr="00104CA4" w:rsidRDefault="00D16434" w:rsidP="00437B2F">
      <w:pPr>
        <w:pStyle w:val="LGTdoc1"/>
        <w:numPr>
          <w:ilvl w:val="1"/>
          <w:numId w:val="24"/>
        </w:numPr>
        <w:snapToGrid/>
        <w:spacing w:beforeLines="0" w:before="100" w:beforeAutospacing="1" w:after="0" w:afterAutospacing="0" w:line="360" w:lineRule="auto"/>
        <w:contextualSpacing/>
        <w:rPr>
          <w:sz w:val="24"/>
          <w:szCs w:val="24"/>
          <w:lang w:val="pt-BR"/>
        </w:rPr>
      </w:pPr>
      <w:r w:rsidRPr="00104CA4">
        <w:rPr>
          <w:sz w:val="24"/>
          <w:szCs w:val="24"/>
          <w:lang w:val="pt-BR"/>
        </w:rPr>
        <w:t>For UL channels/RSs, do not directly use coresetPoolIndex for the explicit indicator</w:t>
      </w:r>
      <w:r w:rsidR="005910E2" w:rsidRPr="00104CA4">
        <w:rPr>
          <w:sz w:val="24"/>
          <w:szCs w:val="24"/>
          <w:lang w:val="pt-BR"/>
        </w:rPr>
        <w:t xml:space="preserve"> </w:t>
      </w:r>
      <w:r w:rsidRPr="00104CA4">
        <w:rPr>
          <w:sz w:val="24"/>
          <w:szCs w:val="24"/>
          <w:lang w:val="pt-BR"/>
        </w:rPr>
        <w:t>in order to align design for both S-DCI and M-DCI and for heterogeneous DL/UL configurations(e.g. M=2, N=1)</w:t>
      </w:r>
    </w:p>
    <w:p w14:paraId="140335C0" w14:textId="77777777" w:rsidR="00C4681D" w:rsidRDefault="00C4681D" w:rsidP="007F7726">
      <w:pPr>
        <w:pStyle w:val="LGTdoc1"/>
        <w:numPr>
          <w:ilvl w:val="1"/>
          <w:numId w:val="24"/>
        </w:numPr>
        <w:snapToGrid/>
        <w:spacing w:beforeLines="0" w:before="100" w:beforeAutospacing="1" w:after="0" w:afterAutospacing="0" w:line="360" w:lineRule="auto"/>
        <w:contextualSpacing/>
        <w:rPr>
          <w:sz w:val="24"/>
          <w:szCs w:val="24"/>
          <w:lang w:val="pt-BR"/>
        </w:rPr>
      </w:pPr>
      <w:r>
        <w:rPr>
          <w:sz w:val="24"/>
          <w:szCs w:val="24"/>
          <w:lang w:val="pt-BR"/>
        </w:rPr>
        <w:t xml:space="preserve">For SRS, TCI applicability can be configured per SRS resource group/set or per SRS resource where certain SRS resource(s) can still be configured with legacy spatial relation. </w:t>
      </w:r>
    </w:p>
    <w:p w14:paraId="75FA561A" w14:textId="77777777" w:rsidR="007F7726" w:rsidRDefault="007F7726" w:rsidP="006362BE">
      <w:pPr>
        <w:pStyle w:val="LGTdoc1"/>
        <w:snapToGrid/>
        <w:spacing w:beforeLines="0" w:before="100" w:beforeAutospacing="1" w:after="0" w:afterAutospacing="0" w:line="360" w:lineRule="auto"/>
        <w:ind w:firstLine="330"/>
        <w:contextualSpacing/>
        <w:rPr>
          <w:b w:val="0"/>
          <w:sz w:val="22"/>
          <w:lang w:val="en-US"/>
        </w:rPr>
      </w:pPr>
    </w:p>
    <w:p w14:paraId="5EDAB5C8" w14:textId="21B93BF1" w:rsidR="005C490C" w:rsidRDefault="005C490C" w:rsidP="006362BE">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w:t>
      </w:r>
      <w:r>
        <w:rPr>
          <w:rFonts w:hint="eastAsia"/>
          <w:b w:val="0"/>
          <w:sz w:val="22"/>
          <w:lang w:val="en-US"/>
        </w:rPr>
        <w:t xml:space="preserve">or </w:t>
      </w:r>
      <w:r>
        <w:rPr>
          <w:b w:val="0"/>
          <w:sz w:val="22"/>
          <w:lang w:val="en-US"/>
        </w:rPr>
        <w:t xml:space="preserve">channel(s)/RS(s) </w:t>
      </w:r>
      <w:r w:rsidRPr="00AB48D5">
        <w:rPr>
          <w:b w:val="0"/>
          <w:sz w:val="22"/>
          <w:lang w:val="en-US"/>
        </w:rPr>
        <w:t xml:space="preserve">that </w:t>
      </w:r>
      <w:r>
        <w:rPr>
          <w:b w:val="0"/>
          <w:sz w:val="22"/>
          <w:lang w:val="en-US"/>
        </w:rPr>
        <w:t xml:space="preserve">doesn’t have association with a </w:t>
      </w:r>
      <w:r w:rsidRPr="002017B3">
        <w:rPr>
          <w:b w:val="0"/>
          <w:i/>
          <w:sz w:val="24"/>
          <w:szCs w:val="24"/>
          <w:lang w:val="en-US"/>
        </w:rPr>
        <w:t>coresetPoolIndex</w:t>
      </w:r>
      <w:r w:rsidRPr="002017B3">
        <w:rPr>
          <w:b w:val="0"/>
          <w:sz w:val="24"/>
          <w:szCs w:val="24"/>
          <w:lang w:val="en-US"/>
        </w:rPr>
        <w:t xml:space="preserve"> value</w:t>
      </w:r>
      <w:r>
        <w:rPr>
          <w:b w:val="0"/>
          <w:sz w:val="24"/>
          <w:szCs w:val="24"/>
          <w:lang w:val="en-US"/>
        </w:rPr>
        <w:t xml:space="preserve">, it can be handled by </w:t>
      </w:r>
      <w:r w:rsidR="00BB69EC">
        <w:rPr>
          <w:b w:val="0"/>
          <w:sz w:val="24"/>
          <w:szCs w:val="24"/>
          <w:lang w:val="en-US"/>
        </w:rPr>
        <w:t>defining</w:t>
      </w:r>
      <w:r>
        <w:rPr>
          <w:b w:val="0"/>
          <w:sz w:val="24"/>
          <w:szCs w:val="24"/>
          <w:lang w:val="en-US"/>
        </w:rPr>
        <w:t xml:space="preserve"> pool index determination</w:t>
      </w:r>
      <w:r w:rsidR="00BB69EC">
        <w:rPr>
          <w:b w:val="0"/>
          <w:sz w:val="24"/>
          <w:szCs w:val="24"/>
          <w:lang w:val="en-US"/>
        </w:rPr>
        <w:t xml:space="preserve"> rule(s)</w:t>
      </w:r>
      <w:r>
        <w:rPr>
          <w:b w:val="0"/>
          <w:sz w:val="24"/>
          <w:szCs w:val="24"/>
          <w:lang w:val="en-US"/>
        </w:rPr>
        <w:t xml:space="preserve">. </w:t>
      </w:r>
      <w:r w:rsidR="00BB69EC">
        <w:rPr>
          <w:b w:val="0"/>
          <w:sz w:val="24"/>
          <w:szCs w:val="24"/>
          <w:lang w:val="en-US"/>
        </w:rPr>
        <w:t>For example</w:t>
      </w:r>
      <w:r>
        <w:rPr>
          <w:b w:val="0"/>
          <w:sz w:val="24"/>
          <w:szCs w:val="24"/>
          <w:lang w:val="en-US"/>
        </w:rPr>
        <w:t xml:space="preserve">, Type-1 CG PUSCH scheduled by RRC can follow the beam applicability through the CORESET pool index indicating DCI for retransmission on the corresponding PUSCH. </w:t>
      </w:r>
    </w:p>
    <w:p w14:paraId="74C36165" w14:textId="77777777" w:rsidR="007F7726" w:rsidRDefault="007F7726" w:rsidP="007F7726">
      <w:pPr>
        <w:pStyle w:val="LGTdoc1"/>
        <w:snapToGrid/>
        <w:spacing w:beforeLines="0" w:before="100" w:beforeAutospacing="1" w:after="0" w:afterAutospacing="0" w:line="360" w:lineRule="auto"/>
        <w:contextualSpacing/>
        <w:rPr>
          <w:sz w:val="24"/>
          <w:szCs w:val="24"/>
          <w:lang w:val="en-US"/>
        </w:rPr>
      </w:pPr>
    </w:p>
    <w:p w14:paraId="1402088C" w14:textId="323C2696" w:rsidR="002017B3" w:rsidRPr="007F7726" w:rsidRDefault="002017B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26F92">
        <w:rPr>
          <w:sz w:val="24"/>
          <w:szCs w:val="24"/>
          <w:lang w:val="en-US"/>
        </w:rPr>
        <w:t>4</w:t>
      </w:r>
      <w:r w:rsidRPr="007F7726">
        <w:rPr>
          <w:sz w:val="24"/>
          <w:szCs w:val="24"/>
          <w:lang w:val="en-US"/>
        </w:rPr>
        <w:t xml:space="preserve">: For M-DCI MTRP, support pre-defined </w:t>
      </w:r>
      <w:r w:rsidRPr="007F7726">
        <w:rPr>
          <w:i/>
          <w:sz w:val="24"/>
          <w:szCs w:val="24"/>
          <w:lang w:val="en-US"/>
        </w:rPr>
        <w:t>coresetPoolIndex</w:t>
      </w:r>
      <w:r w:rsidRPr="007F7726">
        <w:rPr>
          <w:sz w:val="24"/>
          <w:szCs w:val="24"/>
          <w:lang w:val="en-US"/>
        </w:rPr>
        <w:t xml:space="preserve"> value association for channel(s)/signal(s) that doesn’t have association with a </w:t>
      </w:r>
      <w:r w:rsidRPr="007F7726">
        <w:rPr>
          <w:i/>
          <w:sz w:val="24"/>
          <w:szCs w:val="24"/>
          <w:lang w:val="en-US"/>
        </w:rPr>
        <w:t>coresetPoolIndex</w:t>
      </w:r>
      <w:r w:rsidRPr="007F7726">
        <w:rPr>
          <w:sz w:val="24"/>
          <w:szCs w:val="24"/>
          <w:lang w:val="en-US"/>
        </w:rPr>
        <w:t xml:space="preserve"> value</w:t>
      </w:r>
    </w:p>
    <w:p w14:paraId="067C49CB" w14:textId="77777777" w:rsidR="007F7726" w:rsidRDefault="007F7726" w:rsidP="00FB5351">
      <w:pPr>
        <w:pStyle w:val="LGTdoc1"/>
        <w:snapToGrid/>
        <w:spacing w:beforeLines="0" w:before="100" w:beforeAutospacing="1" w:after="0" w:afterAutospacing="0" w:line="360" w:lineRule="auto"/>
        <w:ind w:firstLine="330"/>
        <w:contextualSpacing/>
        <w:rPr>
          <w:b w:val="0"/>
          <w:sz w:val="22"/>
          <w:lang w:val="en-US"/>
        </w:rPr>
      </w:pPr>
    </w:p>
    <w:p w14:paraId="518F8D06" w14:textId="760D9E5C" w:rsidR="00D21460" w:rsidRDefault="00C4681D" w:rsidP="00FB535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CSI-RS, unified TCI</w:t>
      </w:r>
      <w:r w:rsidR="00FB5351">
        <w:rPr>
          <w:b w:val="0"/>
          <w:sz w:val="22"/>
          <w:lang w:val="en-US"/>
        </w:rPr>
        <w:t xml:space="preserve"> applicability can be configured per resource or per resource set. To align with Rel-17 unified TCI design, per-set configuration may be considered as baseline. However, it may not be applicable to </w:t>
      </w:r>
      <w:r w:rsidR="00904F97">
        <w:rPr>
          <w:b w:val="0"/>
          <w:sz w:val="22"/>
          <w:lang w:val="en-US"/>
        </w:rPr>
        <w:t xml:space="preserve">NCJT CSI </w:t>
      </w:r>
      <w:r w:rsidR="00FB5351">
        <w:rPr>
          <w:b w:val="0"/>
          <w:sz w:val="22"/>
          <w:lang w:val="en-US"/>
        </w:rPr>
        <w:t xml:space="preserve">introduced in Rel-17 because two TRPs use resource pairing within one </w:t>
      </w:r>
      <w:r w:rsidR="00FB5351">
        <w:rPr>
          <w:b w:val="0"/>
          <w:sz w:val="22"/>
          <w:lang w:val="en-US"/>
        </w:rPr>
        <w:lastRenderedPageBreak/>
        <w:t xml:space="preserve">set. For this case, </w:t>
      </w:r>
      <w:r w:rsidR="00437B2F">
        <w:rPr>
          <w:b w:val="0"/>
          <w:sz w:val="22"/>
          <w:lang w:val="en-US"/>
        </w:rPr>
        <w:t xml:space="preserve">each indicated TCI state can be mapped to each CSI-RS in resource pair for NCJT CSI measurement. </w:t>
      </w:r>
      <w:r w:rsidR="00FB5351">
        <w:rPr>
          <w:b w:val="0"/>
          <w:sz w:val="22"/>
          <w:lang w:val="en-US"/>
        </w:rPr>
        <w:t xml:space="preserve">Alternatively, it may also considerable to extend TCI applicability as per-resource configuration. </w:t>
      </w:r>
    </w:p>
    <w:p w14:paraId="19602DD4" w14:textId="77777777" w:rsidR="007F7726" w:rsidRDefault="007F7726" w:rsidP="00FB5351">
      <w:pPr>
        <w:pStyle w:val="LGTdoc1"/>
        <w:snapToGrid/>
        <w:spacing w:beforeLines="0" w:before="100" w:beforeAutospacing="1" w:after="0" w:afterAutospacing="0" w:line="360" w:lineRule="auto"/>
        <w:ind w:firstLine="330"/>
        <w:contextualSpacing/>
        <w:rPr>
          <w:b w:val="0"/>
          <w:sz w:val="22"/>
          <w:lang w:val="en-US"/>
        </w:rPr>
      </w:pPr>
    </w:p>
    <w:p w14:paraId="0B21FA99" w14:textId="66842182" w:rsidR="00D21460" w:rsidRDefault="00437B2F"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26F92">
        <w:rPr>
          <w:sz w:val="24"/>
          <w:szCs w:val="24"/>
          <w:lang w:val="en-US"/>
        </w:rPr>
        <w:t>5</w:t>
      </w:r>
      <w:r w:rsidRPr="007F7726">
        <w:rPr>
          <w:sz w:val="24"/>
          <w:szCs w:val="24"/>
          <w:lang w:val="en-US"/>
        </w:rPr>
        <w:t>: For TCI state applicability on CSI-RS,</w:t>
      </w:r>
      <w:r w:rsidR="00FB5351" w:rsidRPr="007F7726">
        <w:rPr>
          <w:sz w:val="24"/>
          <w:szCs w:val="24"/>
          <w:lang w:val="en-US"/>
        </w:rPr>
        <w:t xml:space="preserve"> consider to extend t</w:t>
      </w:r>
      <w:r w:rsidR="008C0720" w:rsidRPr="007F7726">
        <w:rPr>
          <w:sz w:val="24"/>
          <w:szCs w:val="24"/>
          <w:lang w:val="en-US"/>
        </w:rPr>
        <w:t>o per-resource configuration. If per-set configuration is adopted as Rel-17, special handling for N</w:t>
      </w:r>
      <w:r w:rsidR="007F7726">
        <w:rPr>
          <w:sz w:val="24"/>
          <w:szCs w:val="24"/>
          <w:lang w:val="en-US"/>
        </w:rPr>
        <w:t>CJT CSI needs to be considered.</w:t>
      </w:r>
    </w:p>
    <w:p w14:paraId="4C7EC9B9" w14:textId="77777777" w:rsidR="007F7726" w:rsidRPr="007F7726" w:rsidRDefault="007F7726" w:rsidP="007F7726">
      <w:pPr>
        <w:pStyle w:val="LGTdoc1"/>
        <w:snapToGrid/>
        <w:spacing w:beforeLines="0" w:before="100" w:beforeAutospacing="1" w:after="0" w:afterAutospacing="0" w:line="360" w:lineRule="auto"/>
        <w:contextualSpacing/>
        <w:rPr>
          <w:sz w:val="24"/>
          <w:szCs w:val="24"/>
          <w:lang w:val="en-US"/>
        </w:rPr>
      </w:pPr>
    </w:p>
    <w:p w14:paraId="0B5BDF43" w14:textId="737270AF" w:rsidR="000F279C" w:rsidRDefault="006147AA" w:rsidP="00D35D5B">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Rel-17, common TCI state update for multip</w:t>
      </w:r>
      <w:r>
        <w:rPr>
          <w:b w:val="0"/>
          <w:sz w:val="22"/>
          <w:lang w:val="en-US"/>
        </w:rPr>
        <w:t>le CC</w:t>
      </w:r>
      <w:r w:rsidR="00FD32BD">
        <w:rPr>
          <w:b w:val="0"/>
          <w:sz w:val="22"/>
          <w:lang w:val="en-US"/>
        </w:rPr>
        <w:t>s</w:t>
      </w:r>
      <w:r>
        <w:rPr>
          <w:b w:val="0"/>
          <w:sz w:val="22"/>
          <w:lang w:val="en-US"/>
        </w:rPr>
        <w:t xml:space="preserve"> based on unified TCI framework was introduced. In Rel-18 unified TCI framework considering MTRP extension, common TCI state update for multiple CCs </w:t>
      </w:r>
      <w:r w:rsidR="00D35D5B">
        <w:rPr>
          <w:b w:val="0"/>
          <w:sz w:val="22"/>
          <w:lang w:val="en-US"/>
        </w:rPr>
        <w:t>needs to be enhanced</w:t>
      </w:r>
      <w:r w:rsidR="00552DD5">
        <w:rPr>
          <w:b w:val="0"/>
          <w:sz w:val="22"/>
          <w:lang w:val="en-US"/>
        </w:rPr>
        <w:t xml:space="preserve">. </w:t>
      </w:r>
      <w:r w:rsidR="00FD32BD">
        <w:rPr>
          <w:b w:val="0"/>
          <w:sz w:val="22"/>
          <w:lang w:val="en-US"/>
        </w:rPr>
        <w:t>For this, we need to consider</w:t>
      </w:r>
      <w:r w:rsidR="00D35D5B">
        <w:rPr>
          <w:b w:val="0"/>
          <w:sz w:val="22"/>
          <w:lang w:val="en-US"/>
        </w:rPr>
        <w:t xml:space="preserve"> that the number of indicated TCI</w:t>
      </w:r>
      <w:r w:rsidR="006E357F">
        <w:rPr>
          <w:b w:val="0"/>
          <w:sz w:val="22"/>
          <w:lang w:val="en-US"/>
        </w:rPr>
        <w:t xml:space="preserve"> states</w:t>
      </w:r>
      <w:r w:rsidR="00FD32BD">
        <w:rPr>
          <w:b w:val="0"/>
          <w:sz w:val="22"/>
          <w:lang w:val="en-US"/>
        </w:rPr>
        <w:t>(i.e. M/N values)</w:t>
      </w:r>
      <w:r w:rsidR="006E357F">
        <w:rPr>
          <w:b w:val="0"/>
          <w:sz w:val="22"/>
          <w:lang w:val="en-US"/>
        </w:rPr>
        <w:t xml:space="preserve"> </w:t>
      </w:r>
      <w:r w:rsidR="00FD32BD">
        <w:rPr>
          <w:b w:val="0"/>
          <w:sz w:val="22"/>
          <w:lang w:val="en-US"/>
        </w:rPr>
        <w:t xml:space="preserve">can be </w:t>
      </w:r>
      <w:r w:rsidR="006E357F">
        <w:rPr>
          <w:b w:val="0"/>
          <w:sz w:val="22"/>
          <w:lang w:val="en-US"/>
        </w:rPr>
        <w:t xml:space="preserve">different among CCs. </w:t>
      </w:r>
      <w:r w:rsidR="00FD32BD">
        <w:rPr>
          <w:b w:val="0"/>
          <w:sz w:val="22"/>
          <w:lang w:val="en-US"/>
        </w:rPr>
        <w:t>If so</w:t>
      </w:r>
      <w:r w:rsidR="00D35D5B">
        <w:rPr>
          <w:b w:val="0"/>
          <w:sz w:val="22"/>
          <w:lang w:val="en-US"/>
        </w:rPr>
        <w:t xml:space="preserve">, </w:t>
      </w:r>
      <w:r w:rsidR="006E357F">
        <w:rPr>
          <w:b w:val="0"/>
          <w:sz w:val="22"/>
          <w:lang w:val="en-US"/>
        </w:rPr>
        <w:t xml:space="preserve">the </w:t>
      </w:r>
      <w:r w:rsidR="00FD32BD">
        <w:rPr>
          <w:b w:val="0"/>
          <w:sz w:val="22"/>
          <w:lang w:val="en-US"/>
        </w:rPr>
        <w:t>issue</w:t>
      </w:r>
      <w:r w:rsidR="006E357F">
        <w:rPr>
          <w:b w:val="0"/>
          <w:sz w:val="22"/>
          <w:lang w:val="en-US"/>
        </w:rPr>
        <w:t xml:space="preserve"> is how to update</w:t>
      </w:r>
      <w:r w:rsidR="00D35D5B">
        <w:rPr>
          <w:b w:val="0"/>
          <w:sz w:val="22"/>
          <w:lang w:val="en-US"/>
        </w:rPr>
        <w:t xml:space="preserve"> </w:t>
      </w:r>
      <w:r w:rsidR="006E357F">
        <w:rPr>
          <w:b w:val="0"/>
          <w:sz w:val="22"/>
          <w:lang w:val="en-US"/>
        </w:rPr>
        <w:t xml:space="preserve">TCI state(s) of other CCs utilizing </w:t>
      </w:r>
      <w:r w:rsidR="00D35D5B">
        <w:rPr>
          <w:b w:val="0"/>
          <w:sz w:val="22"/>
          <w:lang w:val="en-US"/>
        </w:rPr>
        <w:t>the indicat</w:t>
      </w:r>
      <w:r w:rsidR="006E357F">
        <w:rPr>
          <w:b w:val="0"/>
          <w:sz w:val="22"/>
          <w:lang w:val="en-US"/>
        </w:rPr>
        <w:t>ed TCI state(s) in a specific CC</w:t>
      </w:r>
      <w:r w:rsidR="006E357F" w:rsidRPr="006E357F">
        <w:rPr>
          <w:b w:val="0"/>
          <w:sz w:val="22"/>
          <w:lang w:val="en-US"/>
        </w:rPr>
        <w:t xml:space="preserve"> </w:t>
      </w:r>
      <w:r w:rsidR="006E357F">
        <w:rPr>
          <w:b w:val="0"/>
          <w:sz w:val="22"/>
          <w:lang w:val="en-US"/>
        </w:rPr>
        <w:t>with different number of TCI states</w:t>
      </w:r>
      <w:r w:rsidR="00D35D5B">
        <w:rPr>
          <w:b w:val="0"/>
          <w:sz w:val="22"/>
          <w:lang w:val="en-US"/>
        </w:rPr>
        <w:t>.</w:t>
      </w:r>
      <w:r>
        <w:rPr>
          <w:b w:val="0"/>
          <w:sz w:val="22"/>
          <w:lang w:val="en-US"/>
        </w:rPr>
        <w:t xml:space="preserve"> </w:t>
      </w:r>
      <w:r w:rsidR="00552DD5">
        <w:rPr>
          <w:b w:val="0"/>
          <w:sz w:val="22"/>
          <w:lang w:val="en-US"/>
        </w:rPr>
        <w:t xml:space="preserve">For a simple approach, </w:t>
      </w:r>
      <w:r w:rsidR="00FD32BD">
        <w:rPr>
          <w:b w:val="0"/>
          <w:sz w:val="22"/>
          <w:lang w:val="en-US"/>
        </w:rPr>
        <w:t xml:space="preserve">we can introduce a restriction that </w:t>
      </w:r>
      <w:r w:rsidR="00552DD5">
        <w:rPr>
          <w:b w:val="0"/>
          <w:sz w:val="22"/>
          <w:lang w:val="en-US"/>
        </w:rPr>
        <w:t xml:space="preserve">a CC list for common TCI state update </w:t>
      </w:r>
      <w:r w:rsidR="00FD32BD">
        <w:rPr>
          <w:b w:val="0"/>
          <w:sz w:val="22"/>
          <w:lang w:val="en-US"/>
        </w:rPr>
        <w:t xml:space="preserve">should </w:t>
      </w:r>
      <w:r w:rsidR="00552DD5">
        <w:rPr>
          <w:b w:val="0"/>
          <w:sz w:val="22"/>
          <w:lang w:val="en-US"/>
        </w:rPr>
        <w:t>include the CC(s) with the same M/N configuration</w:t>
      </w:r>
      <w:r w:rsidR="00FD32BD">
        <w:rPr>
          <w:b w:val="0"/>
          <w:sz w:val="22"/>
          <w:lang w:val="en-US"/>
        </w:rPr>
        <w:t xml:space="preserve"> only</w:t>
      </w:r>
      <w:r w:rsidR="00552DD5">
        <w:rPr>
          <w:b w:val="0"/>
          <w:sz w:val="22"/>
          <w:lang w:val="en-US"/>
        </w:rPr>
        <w:t xml:space="preserve">. </w:t>
      </w:r>
      <w:r w:rsidR="00FD32BD">
        <w:rPr>
          <w:b w:val="0"/>
          <w:sz w:val="22"/>
          <w:lang w:val="en-US"/>
        </w:rPr>
        <w:t>This approach may</w:t>
      </w:r>
      <w:r w:rsidR="00552DD5">
        <w:rPr>
          <w:b w:val="0"/>
          <w:sz w:val="22"/>
          <w:lang w:val="en-US"/>
        </w:rPr>
        <w:t xml:space="preserve"> cause </w:t>
      </w:r>
      <w:r w:rsidR="00FD32BD">
        <w:rPr>
          <w:b w:val="0"/>
          <w:sz w:val="22"/>
          <w:lang w:val="en-US"/>
        </w:rPr>
        <w:t>an increased</w:t>
      </w:r>
      <w:r w:rsidR="00552DD5">
        <w:rPr>
          <w:b w:val="0"/>
          <w:sz w:val="22"/>
          <w:lang w:val="en-US"/>
        </w:rPr>
        <w:t xml:space="preserve"> control signaling overhead </w:t>
      </w:r>
      <w:r w:rsidR="00FD32BD">
        <w:rPr>
          <w:b w:val="0"/>
          <w:sz w:val="22"/>
          <w:lang w:val="en-US"/>
        </w:rPr>
        <w:t>by increasing</w:t>
      </w:r>
      <w:r w:rsidR="00552DD5">
        <w:rPr>
          <w:b w:val="0"/>
          <w:sz w:val="22"/>
          <w:lang w:val="en-US"/>
        </w:rPr>
        <w:t xml:space="preserve"> the number of CC lists to cover the various M/N configuration o</w:t>
      </w:r>
      <w:r w:rsidR="00FD32BD">
        <w:rPr>
          <w:b w:val="0"/>
          <w:sz w:val="22"/>
          <w:lang w:val="en-US"/>
        </w:rPr>
        <w:t>f</w:t>
      </w:r>
      <w:r w:rsidR="00552DD5">
        <w:rPr>
          <w:b w:val="0"/>
          <w:sz w:val="22"/>
          <w:lang w:val="en-US"/>
        </w:rPr>
        <w:t xml:space="preserve"> </w:t>
      </w:r>
      <w:r w:rsidR="00FD32BD">
        <w:rPr>
          <w:b w:val="0"/>
          <w:sz w:val="22"/>
          <w:lang w:val="en-US"/>
        </w:rPr>
        <w:t xml:space="preserve">different </w:t>
      </w:r>
      <w:r w:rsidR="00552DD5">
        <w:rPr>
          <w:b w:val="0"/>
          <w:sz w:val="22"/>
          <w:lang w:val="en-US"/>
        </w:rPr>
        <w:t>CCs. To address th</w:t>
      </w:r>
      <w:r w:rsidR="00FD32BD">
        <w:rPr>
          <w:b w:val="0"/>
          <w:sz w:val="22"/>
          <w:lang w:val="en-US"/>
        </w:rPr>
        <w:t>is demerit</w:t>
      </w:r>
      <w:r w:rsidR="00552DD5">
        <w:rPr>
          <w:b w:val="0"/>
          <w:sz w:val="22"/>
          <w:lang w:val="en-US"/>
        </w:rPr>
        <w:t xml:space="preserve">, </w:t>
      </w:r>
      <w:r w:rsidR="00FD32BD">
        <w:rPr>
          <w:b w:val="0"/>
          <w:sz w:val="22"/>
          <w:lang w:val="en-US"/>
        </w:rPr>
        <w:t>another</w:t>
      </w:r>
      <w:r w:rsidR="006E357F">
        <w:rPr>
          <w:b w:val="0"/>
          <w:sz w:val="22"/>
          <w:lang w:val="en-US"/>
        </w:rPr>
        <w:t xml:space="preserve"> potential solution is to determine the number of indicated TCI states based on the largest M/N value among CCs in a CC list. </w:t>
      </w:r>
      <w:r w:rsidR="007B653A">
        <w:rPr>
          <w:b w:val="0"/>
          <w:sz w:val="22"/>
          <w:lang w:val="en-US"/>
        </w:rPr>
        <w:t>For example, when the M/N configuration for CC1 is {M=2, N=1} and CC2 is {M=1, N=2}, the number of indicated TCI states applying common TCI state update</w:t>
      </w:r>
      <w:r w:rsidR="00FD32BD">
        <w:rPr>
          <w:b w:val="0"/>
          <w:sz w:val="22"/>
          <w:lang w:val="en-US"/>
        </w:rPr>
        <w:t xml:space="preserve"> can be</w:t>
      </w:r>
      <w:r w:rsidR="007B653A">
        <w:rPr>
          <w:b w:val="0"/>
          <w:sz w:val="22"/>
          <w:lang w:val="en-US"/>
        </w:rPr>
        <w:t xml:space="preserve"> {M_common=2, N_common=2}. </w:t>
      </w:r>
      <w:r w:rsidR="006E357F">
        <w:rPr>
          <w:b w:val="0"/>
          <w:sz w:val="22"/>
          <w:lang w:val="en-US"/>
        </w:rPr>
        <w:t xml:space="preserve">Then, common TCI state update can be operated via the association between indicated TCI state(s) on a certain CC and the indicated TCI states applying to all CCs. </w:t>
      </w:r>
    </w:p>
    <w:p w14:paraId="4F90C1C7" w14:textId="77777777" w:rsidR="007F7726" w:rsidRDefault="007F7726" w:rsidP="00D35D5B">
      <w:pPr>
        <w:pStyle w:val="LGTdoc1"/>
        <w:snapToGrid/>
        <w:spacing w:beforeLines="0" w:before="100" w:beforeAutospacing="1" w:after="0" w:afterAutospacing="0" w:line="360" w:lineRule="auto"/>
        <w:ind w:firstLine="330"/>
        <w:contextualSpacing/>
        <w:rPr>
          <w:b w:val="0"/>
          <w:sz w:val="22"/>
          <w:lang w:val="en-US"/>
        </w:rPr>
      </w:pPr>
    </w:p>
    <w:p w14:paraId="2366A6FB" w14:textId="6FABD820" w:rsidR="004A094C" w:rsidRPr="007F7726" w:rsidRDefault="004A094C"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26F92">
        <w:rPr>
          <w:sz w:val="24"/>
          <w:szCs w:val="24"/>
          <w:lang w:val="en-US"/>
        </w:rPr>
        <w:t>6</w:t>
      </w:r>
      <w:r w:rsidRPr="007F7726">
        <w:rPr>
          <w:sz w:val="24"/>
          <w:szCs w:val="24"/>
          <w:lang w:val="en-US"/>
        </w:rPr>
        <w:t>: For common TCI update for multi-CC</w:t>
      </w:r>
      <w:r w:rsidR="00FD32BD" w:rsidRPr="007F7726">
        <w:rPr>
          <w:sz w:val="24"/>
          <w:szCs w:val="24"/>
          <w:lang w:val="en-US"/>
        </w:rPr>
        <w:t xml:space="preserve"> with M/N=2</w:t>
      </w:r>
      <w:r w:rsidRPr="007F7726">
        <w:rPr>
          <w:sz w:val="24"/>
          <w:szCs w:val="24"/>
          <w:lang w:val="en-US"/>
        </w:rPr>
        <w:t>, determine the number of indicated TCI states based on the largest M/N value among CCs in a CC list</w:t>
      </w: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29B53F4F" w14:textId="2E8F2AF4" w:rsidR="00B5164E" w:rsidRDefault="00B5164E" w:rsidP="001F7BAA">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w:t>
      </w:r>
      <w:r>
        <w:rPr>
          <w:b w:val="0"/>
          <w:sz w:val="22"/>
          <w:lang w:val="en-US"/>
        </w:rPr>
        <w:t>n RAN1#</w:t>
      </w:r>
      <w:r w:rsidR="00EA5B03">
        <w:rPr>
          <w:b w:val="0"/>
          <w:sz w:val="22"/>
          <w:lang w:val="en-US"/>
        </w:rPr>
        <w:t>112</w:t>
      </w:r>
      <w:r>
        <w:rPr>
          <w:b w:val="0"/>
          <w:sz w:val="22"/>
          <w:lang w:val="en-US"/>
        </w:rPr>
        <w:t>, the following agreement</w:t>
      </w:r>
      <w:r w:rsidR="00E06551">
        <w:rPr>
          <w:b w:val="0"/>
          <w:sz w:val="22"/>
          <w:lang w:val="en-US"/>
        </w:rPr>
        <w:t xml:space="preserve"> w</w:t>
      </w:r>
      <w:r w:rsidR="00B72232">
        <w:rPr>
          <w:b w:val="0"/>
          <w:sz w:val="22"/>
          <w:lang w:val="en-US"/>
        </w:rPr>
        <w:t>as</w:t>
      </w:r>
      <w:r>
        <w:rPr>
          <w:b w:val="0"/>
          <w:sz w:val="22"/>
          <w:lang w:val="en-US"/>
        </w:rPr>
        <w:t xml:space="preserve"> made</w:t>
      </w:r>
      <w:r w:rsidR="00E06551">
        <w:rPr>
          <w:b w:val="0"/>
          <w:sz w:val="22"/>
          <w:lang w:val="en-US"/>
        </w:rPr>
        <w:t xml:space="preserve"> </w:t>
      </w:r>
      <w:r>
        <w:rPr>
          <w:b w:val="0"/>
          <w:sz w:val="22"/>
          <w:lang w:val="en-US"/>
        </w:rPr>
        <w:t>as:</w:t>
      </w:r>
    </w:p>
    <w:tbl>
      <w:tblPr>
        <w:tblStyle w:val="ad"/>
        <w:tblW w:w="0" w:type="auto"/>
        <w:tblLook w:val="04A0" w:firstRow="1" w:lastRow="0" w:firstColumn="1" w:lastColumn="0" w:noHBand="0" w:noVBand="1"/>
      </w:tblPr>
      <w:tblGrid>
        <w:gridCol w:w="9017"/>
      </w:tblGrid>
      <w:tr w:rsidR="00B5164E" w14:paraId="25094B7F" w14:textId="77777777" w:rsidTr="00B5164E">
        <w:tc>
          <w:tcPr>
            <w:tcW w:w="9017" w:type="dxa"/>
          </w:tcPr>
          <w:p w14:paraId="6C35C19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5974A344" w14:textId="77777777" w:rsidR="00EA5B03" w:rsidRPr="00EA5B03" w:rsidRDefault="00EA5B03" w:rsidP="00EA5B03">
            <w:pPr>
              <w:ind w:firstLine="2"/>
              <w:jc w:val="both"/>
              <w:rPr>
                <w:rFonts w:ascii="Times" w:eastAsia="바탕" w:hAnsi="Times" w:cs="Times"/>
                <w:sz w:val="20"/>
                <w:szCs w:val="20"/>
                <w:lang w:val="en-GB" w:eastAsia="zh-CN"/>
              </w:rPr>
            </w:pPr>
            <w:r w:rsidRPr="00EA5B03">
              <w:rPr>
                <w:rFonts w:ascii="Times" w:eastAsia="바탕" w:hAnsi="Times" w:cs="Times"/>
                <w:sz w:val="20"/>
                <w:szCs w:val="20"/>
                <w:lang w:val="en-GB"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6AA8419D" w14:textId="77777777" w:rsidR="00EA5B03" w:rsidRPr="00EA5B03" w:rsidRDefault="00EA5B03" w:rsidP="00EA5B03">
            <w:pPr>
              <w:numPr>
                <w:ilvl w:val="0"/>
                <w:numId w:val="40"/>
              </w:numPr>
              <w:suppressAutoHyphens/>
              <w:overflowPunct w:val="0"/>
              <w:autoSpaceDE w:val="0"/>
              <w:autoSpaceDN w:val="0"/>
              <w:adjustRightInd w:val="0"/>
              <w:spacing w:after="180"/>
              <w:contextualSpacing/>
              <w:textAlignment w:val="baseline"/>
              <w:rPr>
                <w:rFonts w:ascii="Times" w:eastAsia="바탕" w:hAnsi="Times" w:cs="Times"/>
                <w:sz w:val="20"/>
                <w:szCs w:val="20"/>
                <w:lang w:val="en-GB"/>
              </w:rPr>
            </w:pPr>
            <w:r w:rsidRPr="00EA5B03">
              <w:rPr>
                <w:rFonts w:ascii="Times" w:eastAsia="바탕" w:hAnsi="Times" w:cs="Times"/>
                <w:sz w:val="20"/>
                <w:szCs w:val="20"/>
                <w:lang w:val="en-GB" w:eastAsia="x-none"/>
              </w:rPr>
              <w:t xml:space="preserve">FFS: For STxMP, the maximum Tx power when </w:t>
            </w:r>
            <w:r w:rsidRPr="00EA5B03">
              <w:rPr>
                <w:rFonts w:ascii="Times" w:eastAsia="바탕" w:hAnsi="Times" w:cs="Times"/>
                <w:sz w:val="20"/>
                <w:szCs w:val="20"/>
                <w:lang w:val="en-GB" w:eastAsia="zh-CN"/>
              </w:rPr>
              <w:t xml:space="preserve">the UE determines UL Tx power </w:t>
            </w:r>
            <w:r w:rsidRPr="00EA5B03">
              <w:rPr>
                <w:rFonts w:ascii="Times" w:eastAsia="바탕" w:hAnsi="Times" w:cs="Times"/>
                <w:sz w:val="20"/>
                <w:szCs w:val="20"/>
                <w:lang w:val="en-GB" w:eastAsia="x-none"/>
              </w:rPr>
              <w:t xml:space="preserve">for the PUSCH/PUCCH </w:t>
            </w:r>
            <w:r w:rsidRPr="00EA5B03">
              <w:rPr>
                <w:rFonts w:ascii="Times" w:eastAsia="바탕" w:hAnsi="Times" w:cs="Times"/>
                <w:sz w:val="20"/>
                <w:szCs w:val="20"/>
                <w:lang w:val="en-GB" w:eastAsia="zh-CN"/>
              </w:rPr>
              <w:t>transmission occasion(s) or antenna port(s)</w:t>
            </w:r>
            <w:r w:rsidRPr="00EA5B03">
              <w:rPr>
                <w:rFonts w:ascii="Times" w:eastAsia="바탕" w:hAnsi="Times" w:cs="Times"/>
                <w:sz w:val="20"/>
                <w:szCs w:val="20"/>
                <w:lang w:val="en-GB" w:eastAsia="x-none"/>
              </w:rPr>
              <w:t xml:space="preserve"> (discussed </w:t>
            </w:r>
            <w:r w:rsidRPr="00EA5B03">
              <w:rPr>
                <w:rFonts w:ascii="Times" w:eastAsia="맑은 고딕" w:hAnsi="Times" w:cs="Times"/>
                <w:sz w:val="20"/>
                <w:szCs w:val="20"/>
                <w:lang w:val="en-GB" w:eastAsia="zh-CN"/>
              </w:rPr>
              <w:t>after receiving RAN4 reply on UE power limitation for STxMP in FR2</w:t>
            </w:r>
            <w:r w:rsidRPr="00EA5B03">
              <w:rPr>
                <w:rFonts w:ascii="Times" w:eastAsia="바탕" w:hAnsi="Times" w:cs="Times"/>
                <w:sz w:val="20"/>
                <w:szCs w:val="20"/>
                <w:lang w:val="en-GB" w:eastAsia="x-none"/>
              </w:rPr>
              <w:t>)</w:t>
            </w:r>
          </w:p>
          <w:p w14:paraId="2705D000" w14:textId="5989FF9A" w:rsidR="00E06551" w:rsidRPr="002805C9" w:rsidRDefault="00EA5B03" w:rsidP="00EA5B03">
            <w:pPr>
              <w:numPr>
                <w:ilvl w:val="0"/>
                <w:numId w:val="40"/>
              </w:numPr>
              <w:suppressAutoHyphens/>
              <w:overflowPunct w:val="0"/>
              <w:autoSpaceDE w:val="0"/>
              <w:autoSpaceDN w:val="0"/>
              <w:adjustRightInd w:val="0"/>
              <w:spacing w:after="180"/>
              <w:contextualSpacing/>
              <w:textAlignment w:val="baseline"/>
              <w:rPr>
                <w:rFonts w:ascii="Times" w:eastAsia="바탕" w:hAnsi="Times" w:cs="Times"/>
                <w:sz w:val="20"/>
                <w:szCs w:val="20"/>
                <w:lang w:val="en-GB" w:eastAsia="x-none"/>
              </w:rPr>
            </w:pPr>
            <w:r w:rsidRPr="00EA5B03">
              <w:rPr>
                <w:rFonts w:ascii="Times" w:eastAsia="바탕" w:hAnsi="Times" w:cs="Times"/>
                <w:sz w:val="20"/>
                <w:szCs w:val="20"/>
                <w:lang w:val="en-GB" w:eastAsia="x-none"/>
              </w:rPr>
              <w:t xml:space="preserve">FFS: Default UL PC parameter setting(s) </w:t>
            </w:r>
            <w:r w:rsidRPr="00EA5B03">
              <w:rPr>
                <w:rFonts w:ascii="Times" w:eastAsia="바탕" w:hAnsi="Times" w:cs="Times"/>
                <w:color w:val="000000"/>
                <w:sz w:val="20"/>
                <w:szCs w:val="20"/>
                <w:lang w:val="en-GB" w:eastAsia="x-none"/>
              </w:rPr>
              <w:t xml:space="preserve">if one or both of indicated joint/UL TCI states applied to PUSCH/PUCCH/SRS </w:t>
            </w:r>
            <w:r w:rsidRPr="00EA5B03">
              <w:rPr>
                <w:rFonts w:ascii="Times" w:eastAsia="바탕" w:hAnsi="Times" w:cs="Times"/>
                <w:sz w:val="20"/>
                <w:szCs w:val="20"/>
                <w:lang w:val="en-GB" w:eastAsia="zh-CN"/>
              </w:rPr>
              <w:t>transmission occasion(s) or antenna port(s)</w:t>
            </w:r>
            <w:r w:rsidRPr="00EA5B03">
              <w:rPr>
                <w:rFonts w:ascii="Times" w:eastAsia="바탕" w:hAnsi="Times" w:cs="Times"/>
                <w:color w:val="000000"/>
                <w:sz w:val="20"/>
                <w:szCs w:val="20"/>
                <w:lang w:val="en-GB" w:eastAsia="x-none"/>
              </w:rPr>
              <w:t xml:space="preserve"> does/do not include the UL PC parameter setting(s) for PUCCH/PUSCH/SRS</w:t>
            </w:r>
          </w:p>
        </w:tc>
      </w:tr>
    </w:tbl>
    <w:p w14:paraId="27B9EB22" w14:textId="540FC262" w:rsidR="00202F7B" w:rsidRDefault="00A17FBB" w:rsidP="00C3514D">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lastRenderedPageBreak/>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C3514D">
        <w:rPr>
          <w:b w:val="0"/>
          <w:sz w:val="22"/>
          <w:lang w:val="en-US"/>
        </w:rPr>
        <w:t xml:space="preserve"> As shown above, UL </w:t>
      </w:r>
      <w:r w:rsidR="001F7BAA">
        <w:rPr>
          <w:b w:val="0"/>
          <w:sz w:val="22"/>
          <w:lang w:val="en-US"/>
        </w:rPr>
        <w:t xml:space="preserve">PC parameters included in the UL or joint TCI states can be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associated with the specific PUSCH/PUCCH </w:t>
      </w:r>
      <w:r w:rsidR="00557C1A">
        <w:rPr>
          <w:b w:val="0"/>
          <w:sz w:val="22"/>
          <w:lang w:val="en-US"/>
        </w:rPr>
        <w:t xml:space="preserve">repetition </w:t>
      </w:r>
      <w:r w:rsidR="001F7BAA">
        <w:rPr>
          <w:b w:val="0"/>
          <w:sz w:val="22"/>
          <w:lang w:val="en-US"/>
        </w:rPr>
        <w:t xml:space="preserve">transmission occasion, respectively. </w:t>
      </w:r>
      <w:r w:rsidR="00B2389B">
        <w:rPr>
          <w:b w:val="0"/>
          <w:sz w:val="22"/>
          <w:lang w:val="en-US"/>
        </w:rPr>
        <w:t>One case for further consideration</w:t>
      </w:r>
      <w:r w:rsidR="00202F7B">
        <w:rPr>
          <w:b w:val="0"/>
          <w:sz w:val="22"/>
          <w:lang w:val="en-US"/>
        </w:rPr>
        <w:t xml:space="preserve"> is </w:t>
      </w:r>
      <w:r w:rsidR="00B2389B">
        <w:rPr>
          <w:b w:val="0"/>
          <w:sz w:val="22"/>
          <w:lang w:val="en-US"/>
        </w:rPr>
        <w:t>when</w:t>
      </w:r>
      <w:r w:rsidR="00202F7B">
        <w:rPr>
          <w:b w:val="0"/>
          <w:sz w:val="22"/>
          <w:lang w:val="en-US"/>
        </w:rPr>
        <w:t xml:space="preserve"> the UL PC </w:t>
      </w:r>
      <w:r w:rsidR="00202F7B" w:rsidRPr="00F254B2">
        <w:rPr>
          <w:b w:val="0"/>
          <w:sz w:val="22"/>
          <w:lang w:val="en-US"/>
        </w:rPr>
        <w:t>setting is not included in one or both indicated joint/UL TCI state(s) for PUSCH/PUCCH repetition.</w:t>
      </w:r>
      <w:r w:rsidR="0078088C" w:rsidRPr="00F254B2">
        <w:rPr>
          <w:b w:val="0"/>
          <w:sz w:val="22"/>
          <w:lang w:val="en-US"/>
        </w:rPr>
        <w:t xml:space="preserve"> </w:t>
      </w:r>
      <w:r w:rsidR="00004210" w:rsidRPr="00F254B2">
        <w:rPr>
          <w:b w:val="0"/>
          <w:sz w:val="22"/>
          <w:lang w:val="en-US"/>
        </w:rPr>
        <w:t xml:space="preserve">In this case, </w:t>
      </w:r>
      <w:r w:rsidR="006E7B0B" w:rsidRPr="00F254B2">
        <w:rPr>
          <w:b w:val="0"/>
          <w:sz w:val="22"/>
          <w:lang w:val="en-US"/>
        </w:rPr>
        <w:t xml:space="preserve">it can be possible to </w:t>
      </w:r>
      <w:r w:rsidR="008C4E7E">
        <w:rPr>
          <w:b w:val="0"/>
          <w:sz w:val="22"/>
          <w:lang w:val="en-US"/>
        </w:rPr>
        <w:t xml:space="preserve">extend Rel-17 mechanism </w:t>
      </w:r>
      <w:r w:rsidR="00C644DA">
        <w:rPr>
          <w:b w:val="0"/>
          <w:sz w:val="22"/>
          <w:lang w:val="en-US"/>
        </w:rPr>
        <w:t>where UE determines the UL PC parameter setting configured in the corresponding UL BWP. Hence, in unified TCI extension for UL MTRP, two default UL PC parameter settings can be configured in the UL BWP and the UE can apply the one of or both UL PC parameter settings to the corresponding TCI state.</w:t>
      </w:r>
    </w:p>
    <w:p w14:paraId="1E15F927" w14:textId="77777777" w:rsidR="007F7726" w:rsidRDefault="007F7726" w:rsidP="00C3514D">
      <w:pPr>
        <w:pStyle w:val="LGTdoc1"/>
        <w:snapToGrid/>
        <w:spacing w:beforeLines="0" w:before="100" w:beforeAutospacing="1" w:after="0" w:afterAutospacing="0" w:line="360" w:lineRule="auto"/>
        <w:ind w:firstLineChars="150" w:firstLine="330"/>
        <w:contextualSpacing/>
        <w:rPr>
          <w:b w:val="0"/>
          <w:sz w:val="22"/>
          <w:lang w:val="en-US"/>
        </w:rPr>
      </w:pPr>
    </w:p>
    <w:p w14:paraId="342EB854" w14:textId="6541DE7F" w:rsidR="001E29F3" w:rsidRDefault="001E29F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26F92">
        <w:rPr>
          <w:sz w:val="24"/>
          <w:szCs w:val="24"/>
          <w:lang w:val="en-US"/>
        </w:rPr>
        <w:t>7</w:t>
      </w:r>
      <w:r w:rsidRPr="007F7726">
        <w:rPr>
          <w:sz w:val="24"/>
          <w:szCs w:val="24"/>
          <w:lang w:val="en-US"/>
        </w:rPr>
        <w:t xml:space="preserve">: Support two default UL PC parameter settings configured in </w:t>
      </w:r>
      <w:r w:rsidRPr="007F7726">
        <w:rPr>
          <w:i/>
          <w:sz w:val="24"/>
          <w:szCs w:val="24"/>
          <w:lang w:val="en-US"/>
        </w:rPr>
        <w:t>BWP-UplinkDedicated</w:t>
      </w:r>
      <w:r w:rsidRPr="007F7726">
        <w:rPr>
          <w:sz w:val="24"/>
          <w:szCs w:val="24"/>
          <w:lang w:val="en-US"/>
        </w:rPr>
        <w:t>, and the UE should apply the one or two default UL PC parameter setting</w:t>
      </w:r>
      <w:r w:rsidR="00946AC3" w:rsidRPr="007F7726">
        <w:rPr>
          <w:sz w:val="24"/>
          <w:szCs w:val="24"/>
          <w:lang w:val="en-US"/>
        </w:rPr>
        <w:t>(s)</w:t>
      </w:r>
      <w:r w:rsidRPr="007F7726">
        <w:rPr>
          <w:sz w:val="24"/>
          <w:szCs w:val="24"/>
          <w:lang w:val="en-US"/>
        </w:rPr>
        <w:t xml:space="preserve"> configured in the corresponding UL BWP.</w:t>
      </w:r>
    </w:p>
    <w:p w14:paraId="4C041E3D" w14:textId="77777777" w:rsidR="007F7726" w:rsidRPr="007F7726" w:rsidRDefault="007F7726" w:rsidP="007F7726">
      <w:pPr>
        <w:pStyle w:val="LGTdoc1"/>
        <w:snapToGrid/>
        <w:spacing w:beforeLines="0" w:before="100" w:beforeAutospacing="1" w:after="0" w:afterAutospacing="0" w:line="360" w:lineRule="auto"/>
        <w:contextualSpacing/>
        <w:rPr>
          <w:sz w:val="24"/>
          <w:szCs w:val="24"/>
          <w:lang w:val="en-US"/>
        </w:rPr>
      </w:pPr>
    </w:p>
    <w:p w14:paraId="313EE5C8" w14:textId="3F5B4037" w:rsidR="00113875" w:rsidRDefault="00113875" w:rsidP="0011387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Pr>
          <w:rFonts w:hint="eastAsia"/>
          <w:b w:val="0"/>
          <w:sz w:val="22"/>
          <w:lang w:val="en-US"/>
        </w:rPr>
        <w:t xml:space="preserve">, it was agreed </w:t>
      </w:r>
      <w:r w:rsidR="004F1951">
        <w:rPr>
          <w:b w:val="0"/>
          <w:sz w:val="22"/>
          <w:lang w:val="en-US"/>
        </w:rPr>
        <w:t xml:space="preserve">in RAN1#109e </w:t>
      </w:r>
      <w:r>
        <w:rPr>
          <w:rFonts w:hint="eastAsia"/>
          <w:b w:val="0"/>
          <w:sz w:val="22"/>
          <w:lang w:val="en-US"/>
        </w:rPr>
        <w:t xml:space="preserve">to send LS to RAN4 </w:t>
      </w:r>
      <w:r>
        <w:rPr>
          <w:b w:val="0"/>
          <w:sz w:val="22"/>
          <w:lang w:val="en-US"/>
        </w:rPr>
        <w:t>regarding UE power limitation for STxMP as follows.</w:t>
      </w:r>
    </w:p>
    <w:tbl>
      <w:tblPr>
        <w:tblStyle w:val="ad"/>
        <w:tblW w:w="0" w:type="auto"/>
        <w:tblLook w:val="04A0" w:firstRow="1" w:lastRow="0" w:firstColumn="1" w:lastColumn="0" w:noHBand="0" w:noVBand="1"/>
      </w:tblPr>
      <w:tblGrid>
        <w:gridCol w:w="9017"/>
      </w:tblGrid>
      <w:tr w:rsidR="00113875" w14:paraId="471C1A6C" w14:textId="77777777" w:rsidTr="00113875">
        <w:tc>
          <w:tcPr>
            <w:tcW w:w="9017" w:type="dxa"/>
          </w:tcPr>
          <w:p w14:paraId="1C2E6E57" w14:textId="77777777" w:rsidR="00113875" w:rsidRPr="00B5164E" w:rsidRDefault="00113875" w:rsidP="00113875">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3C4BAF8F" w14:textId="77777777" w:rsidR="00113875" w:rsidRPr="00B5164E" w:rsidRDefault="00113875" w:rsidP="00113875">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t>On UE power limitation for STxMP for FR2, send LS to RAN4 to check the followings:</w:t>
            </w:r>
          </w:p>
          <w:p w14:paraId="3E9AE461"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power limitation per panel for STxMP (Assumption 1)</w:t>
            </w:r>
          </w:p>
          <w:p w14:paraId="57383880"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a total power limitation per UE over all UE panels used for STxMP (Assumption 2)</w:t>
            </w:r>
          </w:p>
          <w:p w14:paraId="22DC697B"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In either of Assumption1 or Assumption 2, whether the total power limitation per UE over all UE panels used for STxMP or the sum of per-panel power limitation for STxMP can be different from (greater than) the existing power limitation for a given power class?</w:t>
            </w:r>
          </w:p>
          <w:p w14:paraId="7CC76B7F"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973E2D9" w14:textId="77777777" w:rsidR="00113875" w:rsidRPr="00B5164E" w:rsidRDefault="00113875" w:rsidP="00113875">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3DD24E1D" w14:textId="77777777" w:rsidR="00113875" w:rsidRPr="00B5164E" w:rsidRDefault="00113875" w:rsidP="00113875">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37DD4E81" w14:textId="77777777" w:rsidR="00113875" w:rsidRDefault="00113875" w:rsidP="00417252">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065006A8" w14:textId="40197BC9" w:rsidR="00113875" w:rsidRDefault="00113875" w:rsidP="00417252">
            <w:pPr>
              <w:autoSpaceDN w:val="0"/>
              <w:jc w:val="both"/>
              <w:rPr>
                <w:sz w:val="22"/>
              </w:rPr>
            </w:pPr>
            <w:r w:rsidRPr="005F4A91">
              <w:rPr>
                <w:rFonts w:ascii="Times New Roman" w:eastAsia="PMingLiU" w:hAnsi="Times New Roman" w:cs="Times New Roman"/>
                <w:color w:val="000000"/>
                <w:sz w:val="20"/>
                <w:szCs w:val="18"/>
                <w:lang w:val="en-GB" w:eastAsia="zh-TW"/>
              </w:rPr>
              <w:t xml:space="preserve">LS to RAN4 is </w:t>
            </w:r>
            <w:r w:rsidRPr="005F4A91">
              <w:rPr>
                <w:rFonts w:ascii="Times New Roman" w:eastAsia="PMingLiU" w:hAnsi="Times New Roman" w:cs="Times New Roman"/>
                <w:color w:val="000000"/>
                <w:sz w:val="20"/>
                <w:szCs w:val="18"/>
                <w:highlight w:val="green"/>
                <w:lang w:val="en-GB" w:eastAsia="zh-TW"/>
              </w:rPr>
              <w:t>endorsed</w:t>
            </w:r>
            <w:r w:rsidRPr="005F4A91">
              <w:rPr>
                <w:rFonts w:ascii="Times New Roman" w:eastAsia="PMingLiU" w:hAnsi="Times New Roman" w:cs="Times New Roman"/>
                <w:color w:val="000000"/>
                <w:sz w:val="20"/>
                <w:szCs w:val="18"/>
                <w:lang w:val="en-GB" w:eastAsia="zh-TW"/>
              </w:rPr>
              <w:t xml:space="preserve"> in R1-2205639.</w:t>
            </w:r>
          </w:p>
        </w:tc>
      </w:tr>
    </w:tbl>
    <w:p w14:paraId="0569998C" w14:textId="4F4523B7" w:rsidR="00F82F17" w:rsidRDefault="00600062"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the above, RAN4 has replied the LS in the last meeting</w:t>
      </w:r>
      <w:r w:rsidR="00726F92">
        <w:rPr>
          <w:b w:val="0"/>
          <w:sz w:val="22"/>
          <w:lang w:val="en-US"/>
        </w:rPr>
        <w:t xml:space="preserve"> </w:t>
      </w:r>
      <w:r w:rsidR="008817A2">
        <w:rPr>
          <w:b w:val="0"/>
          <w:sz w:val="22"/>
          <w:lang w:val="en-US"/>
        </w:rPr>
        <w:t>[2]</w:t>
      </w:r>
      <w:r>
        <w:rPr>
          <w:b w:val="0"/>
          <w:sz w:val="22"/>
          <w:lang w:val="en-US"/>
        </w:rPr>
        <w:t xml:space="preserve">, where Assumption 1 and Assumption are feasible from RAN4 perspective and both assumptions </w:t>
      </w:r>
      <w:r w:rsidR="003C65F8">
        <w:rPr>
          <w:b w:val="0"/>
          <w:sz w:val="22"/>
          <w:lang w:val="en-US"/>
        </w:rPr>
        <w:t>can</w:t>
      </w:r>
      <w:r>
        <w:rPr>
          <w:b w:val="0"/>
          <w:sz w:val="22"/>
          <w:lang w:val="en-US"/>
        </w:rPr>
        <w:t xml:space="preserve"> be applied to a same UE. </w:t>
      </w:r>
      <w:bookmarkStart w:id="0" w:name="_GoBack"/>
      <w:bookmarkEnd w:id="0"/>
      <w:r w:rsidR="00113875">
        <w:rPr>
          <w:b w:val="0"/>
          <w:sz w:val="22"/>
          <w:lang w:val="en-US"/>
        </w:rPr>
        <w:t>F</w:t>
      </w:r>
      <w:r w:rsidR="008F6948">
        <w:rPr>
          <w:b w:val="0"/>
          <w:sz w:val="22"/>
          <w:lang w:val="en-US"/>
        </w:rPr>
        <w:t xml:space="preserve">or STxMP transmission, each TCI state including PC parameters can be associated with a certain UE Tx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Pc,max value</w:t>
      </w:r>
      <w:r>
        <w:rPr>
          <w:b w:val="0"/>
          <w:sz w:val="22"/>
          <w:lang w:val="en-US"/>
        </w:rPr>
        <w:t xml:space="preserve"> according to the reply LS </w:t>
      </w:r>
      <w:r>
        <w:rPr>
          <w:b w:val="0"/>
          <w:sz w:val="22"/>
          <w:lang w:val="en-US"/>
        </w:rPr>
        <w:lastRenderedPageBreak/>
        <w:t>from RAN4</w:t>
      </w:r>
      <w:r w:rsidR="00F82F17">
        <w:rPr>
          <w:b w:val="0"/>
          <w:sz w:val="22"/>
          <w:lang w:val="en-US"/>
        </w:rPr>
        <w:t>.</w:t>
      </w:r>
      <w:r w:rsidR="00D06D6A">
        <w:rPr>
          <w:b w:val="0"/>
          <w:sz w:val="22"/>
          <w:lang w:val="en-US"/>
        </w:rPr>
        <w:t xml:space="preserve"> Hence</w:t>
      </w:r>
      <w:r w:rsidR="00F82F17">
        <w:rPr>
          <w:b w:val="0"/>
          <w:sz w:val="22"/>
          <w:lang w:val="en-US"/>
        </w:rPr>
        <w:t>, it should be further studied with transmit power management for STxMP transmission</w:t>
      </w:r>
      <w:r w:rsidR="00113875">
        <w:rPr>
          <w:b w:val="0"/>
          <w:sz w:val="22"/>
          <w:lang w:val="en-US"/>
        </w:rPr>
        <w:t xml:space="preserve">. </w:t>
      </w:r>
      <w:r>
        <w:rPr>
          <w:b w:val="0"/>
          <w:sz w:val="22"/>
          <w:lang w:val="en-US"/>
        </w:rPr>
        <w:t>C</w:t>
      </w:r>
      <w:r w:rsidR="00F82F17">
        <w:rPr>
          <w:b w:val="0"/>
          <w:sz w:val="22"/>
          <w:lang w:val="en-US"/>
        </w:rPr>
        <w:t>onsider per-panel power control for STxMP transmission by taking maximum Tx power of UE</w:t>
      </w:r>
      <w:r w:rsidR="004A2F87">
        <w:rPr>
          <w:b w:val="0"/>
          <w:sz w:val="22"/>
          <w:lang w:val="en-US"/>
        </w:rPr>
        <w:t xml:space="preserve"> and panel-wise maximum power</w:t>
      </w:r>
      <w:r w:rsidR="006036A8">
        <w:rPr>
          <w:b w:val="0"/>
          <w:sz w:val="22"/>
          <w:lang w:val="en-US"/>
        </w:rPr>
        <w:t xml:space="preserve"> into account. Note that the maximum Tx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gNB</w:t>
      </w:r>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Pc,max together.</w:t>
      </w:r>
      <w:r w:rsidR="00535845">
        <w:rPr>
          <w:b w:val="0"/>
          <w:sz w:val="22"/>
          <w:lang w:val="en-US"/>
        </w:rPr>
        <w:t xml:space="preserve"> In addition, as RAN4 mentioned, the concept of ‘panel’ has not been defined and then it needs to be clarified on the panel and the panel association for handling each assumption of UE power limitation. To this end, extending the usage of UE capability value set as mentioned in the following sub-section 2.4 can be the one of a promising approaches.</w:t>
      </w:r>
    </w:p>
    <w:p w14:paraId="5433423C" w14:textId="77777777" w:rsidR="007F7726" w:rsidRPr="00F82F17" w:rsidRDefault="007F7726" w:rsidP="00D06D6A">
      <w:pPr>
        <w:pStyle w:val="LGTdoc1"/>
        <w:snapToGrid/>
        <w:spacing w:beforeLines="0" w:before="100" w:beforeAutospacing="1" w:after="0" w:afterAutospacing="0" w:line="360" w:lineRule="auto"/>
        <w:ind w:firstLineChars="150" w:firstLine="330"/>
        <w:contextualSpacing/>
        <w:rPr>
          <w:b w:val="0"/>
          <w:sz w:val="22"/>
          <w:lang w:val="en-US"/>
        </w:rPr>
      </w:pPr>
    </w:p>
    <w:p w14:paraId="2EF2F427" w14:textId="59A5544B" w:rsidR="00600062" w:rsidRPr="00236347" w:rsidRDefault="000A1F24" w:rsidP="00236347">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8817A2">
        <w:rPr>
          <w:sz w:val="24"/>
          <w:szCs w:val="24"/>
          <w:lang w:val="en-US"/>
        </w:rPr>
        <w:t>8</w:t>
      </w:r>
      <w:r w:rsidRPr="007F7726">
        <w:rPr>
          <w:sz w:val="24"/>
          <w:szCs w:val="24"/>
          <w:lang w:val="en-US"/>
        </w:rPr>
        <w:t xml:space="preserve">: Consider per panel power control for STxMP transmission </w:t>
      </w:r>
      <w:r w:rsidR="000A699C" w:rsidRPr="007F7726">
        <w:rPr>
          <w:sz w:val="24"/>
          <w:szCs w:val="24"/>
          <w:lang w:val="en-US"/>
        </w:rPr>
        <w:t>by taking maximum Tx power of UE and panel-wise maximum power into account</w:t>
      </w:r>
      <w:r w:rsidRPr="007F7726">
        <w:rPr>
          <w:sz w:val="24"/>
          <w:szCs w:val="24"/>
          <w:lang w:val="en-US"/>
        </w:rPr>
        <w:t>.</w:t>
      </w:r>
    </w:p>
    <w:p w14:paraId="22693B0A" w14:textId="77777777" w:rsidR="001E29F3" w:rsidRPr="00531078" w:rsidRDefault="001E29F3" w:rsidP="001E29F3">
      <w:pPr>
        <w:pStyle w:val="2"/>
        <w:rPr>
          <w:rFonts w:ascii="Times New Roman" w:hAnsi="Times New Roman" w:cs="Times New Roman"/>
          <w:i w:val="0"/>
        </w:rPr>
      </w:pPr>
      <w:r>
        <w:rPr>
          <w:rFonts w:ascii="Times New Roman" w:hAnsi="Times New Roman" w:cs="Times New Roman"/>
          <w:i w:val="0"/>
        </w:rPr>
        <w:t>Beam management for simultaneous UL multi-panel transmission</w:t>
      </w:r>
    </w:p>
    <w:p w14:paraId="3A0AC660" w14:textId="77777777" w:rsidR="001E29F3" w:rsidRPr="00C444E9" w:rsidRDefault="001E29F3" w:rsidP="001E29F3">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For the </w:t>
      </w:r>
      <w:r>
        <w:rPr>
          <w:b w:val="0"/>
          <w:sz w:val="22"/>
          <w:lang w:val="en-US"/>
        </w:rPr>
        <w:t>STxMP, UL beam should be determined on per panel basis. Rel-17 beam management introduced an enhanced beam reporting mode in which UE reports CRI/SSBRI with UE capability value set ID (i.e. C-ID) but it cannot distinguish panels with the same number of antenna ports, i.e. homogeneous panels. Thus, gNB cannot acquire two UL spatial relation RSs where each spatial relation RS correspond to different UE STxMP panel having the same number of antenna ports. Hence, it is required to extend/enhance the Rel-17 beam report by indicating different C-ID(s) with the same number of maximal SRS ports. In addition, UE can report STxMP capable CRI/SSBRI pair with corresponding C-ID pair where the C-ID pair corresponds to STxMP capable panels. Another aspect for enhancement is the beam indication where only one TCI/TPMI/TRI/SRI is supported for PUSCH/PUCCH/SRS transmission currently. The design for N&gt;1 TCI states discussed in the previous section could also be used for simultaneous</w:t>
      </w:r>
      <w:r>
        <w:rPr>
          <w:rFonts w:hint="eastAsia"/>
          <w:b w:val="0"/>
          <w:sz w:val="22"/>
          <w:lang w:val="en-US"/>
        </w:rPr>
        <w:t xml:space="preserve"> </w:t>
      </w:r>
      <w:r>
        <w:rPr>
          <w:b w:val="0"/>
          <w:sz w:val="22"/>
          <w:lang w:val="en-US"/>
        </w:rPr>
        <w:t>UL multi-panel transmission where each UL/joint TCI state corresponds to each UE panel.</w:t>
      </w:r>
    </w:p>
    <w:p w14:paraId="4A691F40" w14:textId="2746678D" w:rsidR="001E29F3" w:rsidRPr="007F7726" w:rsidRDefault="001E29F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8817A2">
        <w:rPr>
          <w:sz w:val="24"/>
          <w:szCs w:val="24"/>
          <w:lang w:val="en-US"/>
        </w:rPr>
        <w:t>9</w:t>
      </w:r>
      <w:r w:rsidRPr="007F7726">
        <w:rPr>
          <w:sz w:val="24"/>
          <w:szCs w:val="24"/>
          <w:lang w:val="en-US"/>
        </w:rPr>
        <w:t>: Enhanced beam management for simultaneous UL multi-panel transmission should be supported.</w:t>
      </w:r>
    </w:p>
    <w:p w14:paraId="3DE0B3F1" w14:textId="77777777" w:rsidR="001E29F3" w:rsidRPr="00F33977" w:rsidRDefault="001E29F3" w:rsidP="007F7726">
      <w:pPr>
        <w:pStyle w:val="LGTdoc1"/>
        <w:numPr>
          <w:ilvl w:val="0"/>
          <w:numId w:val="35"/>
        </w:numPr>
        <w:snapToGrid/>
        <w:spacing w:beforeLines="0" w:before="100" w:beforeAutospacing="1" w:after="0" w:afterAutospacing="0" w:line="360" w:lineRule="auto"/>
        <w:contextualSpacing/>
        <w:rPr>
          <w:sz w:val="24"/>
          <w:szCs w:val="24"/>
          <w:lang w:val="en-US"/>
        </w:rPr>
      </w:pPr>
      <w:r w:rsidRPr="00F33977">
        <w:rPr>
          <w:sz w:val="24"/>
          <w:szCs w:val="24"/>
          <w:lang w:val="en-US"/>
        </w:rPr>
        <w:t>Enhanced beam report via e</w:t>
      </w:r>
      <w:r w:rsidRPr="00F33977">
        <w:rPr>
          <w:rFonts w:hint="eastAsia"/>
          <w:sz w:val="24"/>
          <w:szCs w:val="24"/>
          <w:lang w:val="en-US"/>
        </w:rPr>
        <w:t>xtend</w:t>
      </w:r>
      <w:r w:rsidRPr="00F33977">
        <w:rPr>
          <w:sz w:val="24"/>
          <w:szCs w:val="24"/>
          <w:lang w:val="en-US"/>
        </w:rPr>
        <w:t>ing</w:t>
      </w:r>
      <w:r w:rsidRPr="00F33977">
        <w:rPr>
          <w:rFonts w:hint="eastAsia"/>
          <w:sz w:val="24"/>
          <w:szCs w:val="24"/>
          <w:lang w:val="en-US"/>
        </w:rPr>
        <w:t xml:space="preserve"> the usage of UE capability value set to homogeneous panels</w:t>
      </w:r>
      <w:r w:rsidRPr="00F33977">
        <w:rPr>
          <w:sz w:val="24"/>
          <w:szCs w:val="24"/>
          <w:lang w:val="en-US"/>
        </w:rPr>
        <w:t xml:space="preserve"> and to report multiple CRI/SSBRI pair with multiple UE capability indices among STxMP capable pairs</w:t>
      </w:r>
    </w:p>
    <w:p w14:paraId="7063E849" w14:textId="77777777" w:rsidR="001E29F3" w:rsidRDefault="001E29F3" w:rsidP="007F7726">
      <w:pPr>
        <w:pStyle w:val="LGTdoc1"/>
        <w:numPr>
          <w:ilvl w:val="0"/>
          <w:numId w:val="35"/>
        </w:numPr>
        <w:snapToGrid/>
        <w:spacing w:beforeLines="0" w:before="100" w:beforeAutospacing="1" w:after="0" w:afterAutospacing="0" w:line="360" w:lineRule="auto"/>
        <w:contextualSpacing/>
        <w:rPr>
          <w:sz w:val="24"/>
          <w:szCs w:val="24"/>
          <w:lang w:val="en-US"/>
        </w:rPr>
      </w:pPr>
      <w:r w:rsidRPr="00F33977">
        <w:rPr>
          <w:sz w:val="24"/>
          <w:szCs w:val="24"/>
          <w:lang w:val="en-US"/>
        </w:rPr>
        <w:t xml:space="preserve">Enhanced beam indication based on </w:t>
      </w:r>
      <w:r w:rsidRPr="00F33977">
        <w:rPr>
          <w:rFonts w:hint="eastAsia"/>
          <w:sz w:val="24"/>
          <w:szCs w:val="24"/>
          <w:lang w:val="en-US"/>
        </w:rPr>
        <w:t xml:space="preserve">N&gt;1 UL/joint TCI states, where each </w:t>
      </w:r>
      <w:r w:rsidRPr="00F33977">
        <w:rPr>
          <w:sz w:val="24"/>
          <w:szCs w:val="24"/>
          <w:lang w:val="en-US"/>
        </w:rPr>
        <w:t xml:space="preserve">UL/joint </w:t>
      </w:r>
      <w:r w:rsidRPr="00F33977">
        <w:rPr>
          <w:rFonts w:hint="eastAsia"/>
          <w:sz w:val="24"/>
          <w:szCs w:val="24"/>
          <w:lang w:val="en-US"/>
        </w:rPr>
        <w:t>TCI state</w:t>
      </w:r>
      <w:r w:rsidRPr="00F33977">
        <w:rPr>
          <w:sz w:val="24"/>
          <w:szCs w:val="24"/>
          <w:lang w:val="en-US"/>
        </w:rPr>
        <w:t xml:space="preserve"> corresponds to each UE panel</w:t>
      </w:r>
    </w:p>
    <w:p w14:paraId="4E62EC9A" w14:textId="37B000D1" w:rsidR="00AE539B" w:rsidRPr="00531078" w:rsidRDefault="004C4872" w:rsidP="00AE539B">
      <w:pPr>
        <w:pStyle w:val="2"/>
        <w:rPr>
          <w:rFonts w:ascii="Times New Roman" w:hAnsi="Times New Roman" w:cs="Times New Roman"/>
          <w:i w:val="0"/>
        </w:rPr>
      </w:pPr>
      <w:r>
        <w:rPr>
          <w:rFonts w:ascii="Times New Roman" w:hAnsi="Times New Roman" w:cs="Times New Roman"/>
          <w:i w:val="0"/>
        </w:rPr>
        <w:lastRenderedPageBreak/>
        <w:t>TRP-specific b</w:t>
      </w:r>
      <w:r w:rsidR="00AE539B">
        <w:rPr>
          <w:rFonts w:ascii="Times New Roman" w:hAnsi="Times New Roman" w:cs="Times New Roman"/>
          <w:i w:val="0"/>
        </w:rPr>
        <w:t>eam failure recovery</w:t>
      </w:r>
    </w:p>
    <w:p w14:paraId="5B53CB14" w14:textId="12C6036C" w:rsidR="00B303BF" w:rsidRDefault="00B303BF" w:rsidP="00B303BF">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the last meeting, the following is agreed for TRP-specific BFR issue.</w:t>
      </w:r>
    </w:p>
    <w:tbl>
      <w:tblPr>
        <w:tblStyle w:val="ad"/>
        <w:tblW w:w="0" w:type="auto"/>
        <w:tblLook w:val="04A0" w:firstRow="1" w:lastRow="0" w:firstColumn="1" w:lastColumn="0" w:noHBand="0" w:noVBand="1"/>
      </w:tblPr>
      <w:tblGrid>
        <w:gridCol w:w="9017"/>
      </w:tblGrid>
      <w:tr w:rsidR="00B303BF" w14:paraId="10899005" w14:textId="77777777" w:rsidTr="00F0714D">
        <w:tc>
          <w:tcPr>
            <w:tcW w:w="9017" w:type="dxa"/>
          </w:tcPr>
          <w:p w14:paraId="4EF57BF9" w14:textId="77777777" w:rsidR="00B303BF" w:rsidRPr="00B303BF" w:rsidRDefault="00B303BF" w:rsidP="00B303BF">
            <w:pPr>
              <w:rPr>
                <w:rFonts w:ascii="Times New Roman" w:eastAsia="바탕" w:hAnsi="Times New Roman" w:cs="Times New Roman"/>
                <w:b/>
                <w:bCs/>
                <w:sz w:val="20"/>
                <w:szCs w:val="20"/>
                <w:highlight w:val="green"/>
                <w:lang w:val="en-GB" w:eastAsia="en-US"/>
              </w:rPr>
            </w:pPr>
            <w:r w:rsidRPr="00B303BF">
              <w:rPr>
                <w:rFonts w:ascii="Times New Roman" w:eastAsia="바탕" w:hAnsi="Times New Roman" w:cs="Times New Roman"/>
                <w:b/>
                <w:bCs/>
                <w:sz w:val="20"/>
                <w:szCs w:val="20"/>
                <w:highlight w:val="green"/>
                <w:lang w:val="en-GB" w:eastAsia="en-US"/>
              </w:rPr>
              <w:t>Agreement</w:t>
            </w:r>
          </w:p>
          <w:p w14:paraId="3AA1DCE5" w14:textId="77777777" w:rsidR="00B303BF" w:rsidRPr="00B303BF" w:rsidRDefault="00B303BF" w:rsidP="00B303BF">
            <w:pPr>
              <w:jc w:val="both"/>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On unified TCI framework extension, study the following enhancements for TRP-specific BFR:</w:t>
            </w:r>
          </w:p>
          <w:p w14:paraId="6EA40412" w14:textId="77777777" w:rsidR="00B303BF" w:rsidRPr="00B303BF" w:rsidRDefault="00B303BF" w:rsidP="00B303B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Implicit BFD-RS determination based on the indicated joint/DL TCI states for S-DCI based MTRP</w:t>
            </w:r>
          </w:p>
          <w:p w14:paraId="0BBA98EE" w14:textId="7CF7F6AB" w:rsidR="00B303BF" w:rsidRPr="00B303BF" w:rsidRDefault="00B303BF" w:rsidP="00B303B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Enhancement to beam update after NW response to TRP-specific BFR request</w:t>
            </w:r>
          </w:p>
        </w:tc>
      </w:tr>
    </w:tbl>
    <w:p w14:paraId="41C66917" w14:textId="063F8268" w:rsidR="00980306" w:rsidRPr="00163576" w:rsidRDefault="004C4872" w:rsidP="00163576">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With M=2, it would be beneficial to support </w:t>
      </w:r>
      <w:r w:rsidR="00041375" w:rsidRPr="00163576">
        <w:rPr>
          <w:b w:val="0"/>
          <w:sz w:val="22"/>
          <w:lang w:val="en-US"/>
        </w:rPr>
        <w:t>TRP-specific BF</w:t>
      </w:r>
      <w:r w:rsidR="00041375">
        <w:rPr>
          <w:b w:val="0"/>
          <w:sz w:val="22"/>
          <w:lang w:val="en-US"/>
        </w:rPr>
        <w:t>R</w:t>
      </w:r>
      <w:r>
        <w:rPr>
          <w:b w:val="0"/>
          <w:sz w:val="22"/>
          <w:lang w:val="en-US"/>
        </w:rPr>
        <w:t xml:space="preserve"> introduced in Rel-17. For BFD RS determination for M-DCI MTRP, it seems natural to include currently maintained two DL TCI states</w:t>
      </w:r>
      <w:r w:rsidR="00531E17">
        <w:rPr>
          <w:b w:val="0"/>
          <w:sz w:val="22"/>
          <w:lang w:val="en-US"/>
        </w:rPr>
        <w:t>, one</w:t>
      </w:r>
      <w:r>
        <w:rPr>
          <w:b w:val="0"/>
          <w:sz w:val="22"/>
          <w:lang w:val="en-US"/>
        </w:rPr>
        <w:t xml:space="preserve"> for each BFD RS set</w:t>
      </w:r>
      <w:r w:rsidR="00531E17">
        <w:rPr>
          <w:b w:val="0"/>
          <w:sz w:val="22"/>
          <w:lang w:val="en-US"/>
        </w:rPr>
        <w:t xml:space="preserve"> since these two TCI are being used by different TRP. Considering that there can be CORESET(s) that does not follow unified TCI, each BFD RS set may include two or more BFD RSs based on Rel-17 BFD-RS determination rule where which set to be included needs to be clarified further, e.g. via CORESET pool index for M-DCI. In addition for implicit BFD RS determination, we need to check whether current BFD RS selection rule can still work since it is unclear how to interpret and compare monitoring periodicity and CORESET index for those CORESETs following unified TCI.</w:t>
      </w:r>
      <w:r w:rsidR="00041375" w:rsidRPr="00163576">
        <w:rPr>
          <w:b w:val="0"/>
          <w:sz w:val="22"/>
          <w:lang w:val="en-US"/>
        </w:rPr>
        <w:t xml:space="preserve"> </w:t>
      </w:r>
    </w:p>
    <w:p w14:paraId="5FBC6279" w14:textId="26245D3A" w:rsidR="00980306" w:rsidRPr="007F7726" w:rsidRDefault="00980306"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F7726" w:rsidRPr="007F7726">
        <w:rPr>
          <w:sz w:val="24"/>
          <w:szCs w:val="24"/>
          <w:lang w:val="en-US"/>
        </w:rPr>
        <w:t>1</w:t>
      </w:r>
      <w:r w:rsidR="008817A2">
        <w:rPr>
          <w:sz w:val="24"/>
          <w:szCs w:val="24"/>
          <w:lang w:val="en-US"/>
        </w:rPr>
        <w:t>0</w:t>
      </w:r>
      <w:r w:rsidRPr="007F7726">
        <w:rPr>
          <w:sz w:val="24"/>
          <w:szCs w:val="24"/>
          <w:lang w:val="en-US"/>
        </w:rPr>
        <w:t xml:space="preserve">: </w:t>
      </w:r>
      <w:r w:rsidR="00531E17" w:rsidRPr="007F7726">
        <w:rPr>
          <w:sz w:val="24"/>
          <w:szCs w:val="24"/>
          <w:lang w:val="en-US"/>
        </w:rPr>
        <w:t>For TRP-specific BFD with M=2, the following needs to be considered.</w:t>
      </w:r>
    </w:p>
    <w:p w14:paraId="5FEF0979" w14:textId="08D87556" w:rsidR="00531E17" w:rsidRPr="007F7726" w:rsidRDefault="007F7726" w:rsidP="007F7726">
      <w:pPr>
        <w:pStyle w:val="LGTdoc1"/>
        <w:numPr>
          <w:ilvl w:val="0"/>
          <w:numId w:val="36"/>
        </w:numPr>
        <w:snapToGrid/>
        <w:spacing w:beforeLines="0" w:before="100" w:beforeAutospacing="1" w:after="0" w:afterAutospacing="0" w:line="360" w:lineRule="auto"/>
        <w:contextualSpacing/>
        <w:rPr>
          <w:sz w:val="24"/>
          <w:szCs w:val="24"/>
          <w:lang w:val="en-US"/>
        </w:rPr>
      </w:pPr>
      <w:r w:rsidRPr="007F7726">
        <w:rPr>
          <w:sz w:val="24"/>
          <w:szCs w:val="24"/>
          <w:lang w:val="en-US"/>
        </w:rPr>
        <w:t>H</w:t>
      </w:r>
      <w:r w:rsidR="00531E17" w:rsidRPr="007F7726">
        <w:rPr>
          <w:rFonts w:hint="eastAsia"/>
          <w:sz w:val="24"/>
          <w:szCs w:val="24"/>
          <w:lang w:val="en-US"/>
        </w:rPr>
        <w:t xml:space="preserve">ow </w:t>
      </w:r>
      <w:r w:rsidR="00531E17" w:rsidRPr="007F7726">
        <w:rPr>
          <w:sz w:val="24"/>
          <w:szCs w:val="24"/>
          <w:lang w:val="en-US"/>
        </w:rPr>
        <w:t xml:space="preserve">to comprise each BFD RS set </w:t>
      </w:r>
      <w:r w:rsidR="00827CA1" w:rsidRPr="007F7726">
        <w:rPr>
          <w:sz w:val="24"/>
          <w:szCs w:val="24"/>
          <w:lang w:val="en-US"/>
        </w:rPr>
        <w:t>when some CORESETs do not follow unified TCI for both S-DCI MTRP and M-DCI MTRP</w:t>
      </w:r>
    </w:p>
    <w:p w14:paraId="5A3022C8" w14:textId="49C22E63" w:rsidR="00827CA1" w:rsidRPr="007F7726" w:rsidRDefault="007F7726" w:rsidP="007F7726">
      <w:pPr>
        <w:pStyle w:val="LGTdoc1"/>
        <w:numPr>
          <w:ilvl w:val="0"/>
          <w:numId w:val="36"/>
        </w:numPr>
        <w:snapToGrid/>
        <w:spacing w:beforeLines="0" w:before="100" w:beforeAutospacing="1" w:after="0" w:afterAutospacing="0" w:line="360" w:lineRule="auto"/>
        <w:contextualSpacing/>
        <w:rPr>
          <w:sz w:val="24"/>
          <w:szCs w:val="24"/>
          <w:lang w:val="en-US"/>
        </w:rPr>
      </w:pPr>
      <w:r w:rsidRPr="007F7726">
        <w:rPr>
          <w:sz w:val="24"/>
          <w:szCs w:val="24"/>
          <w:lang w:val="en-US"/>
        </w:rPr>
        <w:t>W</w:t>
      </w:r>
      <w:r w:rsidR="00827CA1" w:rsidRPr="007F7726">
        <w:rPr>
          <w:sz w:val="24"/>
          <w:szCs w:val="24"/>
          <w:lang w:val="en-US"/>
        </w:rPr>
        <w:t>hether/how to modify BFD-RS selection rule for implicit BFD RS determination</w:t>
      </w:r>
    </w:p>
    <w:p w14:paraId="4395AA8B" w14:textId="77777777" w:rsidR="00980306" w:rsidRPr="00163576" w:rsidRDefault="00980306" w:rsidP="00F82F17">
      <w:pPr>
        <w:spacing w:before="240" w:after="180"/>
        <w:jc w:val="both"/>
        <w:rPr>
          <w:rFonts w:ascii="Times New Roman" w:hAnsi="Times New Roman" w:cs="Times New Roman"/>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30E5F0C9" w14:textId="77777777" w:rsidR="00AC7967" w:rsidRDefault="00AC7967" w:rsidP="00AC7967">
      <w:pPr>
        <w:pStyle w:val="LGTdoc1"/>
        <w:snapToGrid/>
        <w:spacing w:after="0" w:afterAutospacing="0" w:line="360" w:lineRule="auto"/>
        <w:contextualSpacing/>
        <w:rPr>
          <w:sz w:val="24"/>
          <w:lang w:val="pt-BR"/>
        </w:rPr>
      </w:pPr>
      <w:r>
        <w:rPr>
          <w:sz w:val="24"/>
          <w:lang w:val="en-US"/>
        </w:rPr>
        <w:t xml:space="preserve">Proposal #1: For S-DCI based MTRP, if a sub-set of TCI states for one TRP is indicated in a beam indication instance, the TCI states not in the sub-set for other TRP shall be maintained. </w:t>
      </w:r>
    </w:p>
    <w:p w14:paraId="00531B9A" w14:textId="77777777" w:rsidR="00AC7967" w:rsidRDefault="00AC7967" w:rsidP="00AC7967">
      <w:pPr>
        <w:pStyle w:val="LGTdoc1"/>
        <w:snapToGrid/>
        <w:spacing w:after="0" w:afterAutospacing="0" w:line="360" w:lineRule="auto"/>
        <w:contextualSpacing/>
        <w:rPr>
          <w:sz w:val="24"/>
          <w:lang w:val="pt-BR"/>
        </w:rPr>
      </w:pPr>
      <w:r>
        <w:rPr>
          <w:sz w:val="24"/>
          <w:lang w:val="pt-BR"/>
        </w:rPr>
        <w:t>Proposal #2: For S-DCI based PDSCH reception, the indicated TCI states can be applied for STRP/MTRP operation depending on new indication field in scheduling DCI</w:t>
      </w:r>
    </w:p>
    <w:p w14:paraId="0F56887D" w14:textId="77777777" w:rsidR="00AC7967" w:rsidRDefault="00AC7967" w:rsidP="00AC7967">
      <w:pPr>
        <w:pStyle w:val="LGTdoc1"/>
        <w:numPr>
          <w:ilvl w:val="0"/>
          <w:numId w:val="43"/>
        </w:numPr>
        <w:snapToGrid/>
        <w:spacing w:after="0" w:afterAutospacing="0" w:line="360" w:lineRule="auto"/>
        <w:contextualSpacing/>
        <w:rPr>
          <w:sz w:val="24"/>
          <w:lang w:val="pt-BR"/>
        </w:rPr>
      </w:pPr>
      <w:r>
        <w:rPr>
          <w:sz w:val="24"/>
          <w:lang w:val="pt-BR"/>
        </w:rPr>
        <w:t>For codepoint ‘11’ on TCI selection field, the UE shall apply the both indicated TCI states with swapping the order of the TCI states</w:t>
      </w:r>
    </w:p>
    <w:p w14:paraId="05BED6F7" w14:textId="77777777" w:rsidR="00AC7967" w:rsidRDefault="00AC7967" w:rsidP="00AC7967">
      <w:pPr>
        <w:pStyle w:val="LGTdoc1"/>
        <w:numPr>
          <w:ilvl w:val="0"/>
          <w:numId w:val="43"/>
        </w:numPr>
        <w:snapToGrid/>
        <w:spacing w:after="0" w:afterAutospacing="0" w:line="360" w:lineRule="auto"/>
        <w:contextualSpacing/>
        <w:rPr>
          <w:sz w:val="24"/>
          <w:lang w:val="pt-BR"/>
        </w:rPr>
      </w:pPr>
      <w:r>
        <w:rPr>
          <w:sz w:val="24"/>
          <w:lang w:val="pt-BR"/>
        </w:rPr>
        <w:lastRenderedPageBreak/>
        <w:t>When new indication field is not present, support Alt4 for dynamic switching between STRP and MTRP for the scheduled PDSCH</w:t>
      </w:r>
    </w:p>
    <w:p w14:paraId="05498261"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 xml:space="preserve">Proposal #3: For M-DCI MTRP, </w:t>
      </w:r>
    </w:p>
    <w:p w14:paraId="701B7532" w14:textId="77777777" w:rsidR="00AC7967" w:rsidRDefault="00AC7967" w:rsidP="00AC7967">
      <w:pPr>
        <w:pStyle w:val="LGTdoc1"/>
        <w:numPr>
          <w:ilvl w:val="0"/>
          <w:numId w:val="43"/>
        </w:numPr>
        <w:snapToGrid/>
        <w:spacing w:after="0" w:afterAutospacing="0" w:line="360" w:lineRule="auto"/>
        <w:contextualSpacing/>
        <w:rPr>
          <w:sz w:val="24"/>
          <w:szCs w:val="24"/>
          <w:lang w:val="pt-BR"/>
        </w:rPr>
      </w:pPr>
      <w:r>
        <w:rPr>
          <w:sz w:val="24"/>
          <w:szCs w:val="24"/>
          <w:lang w:val="pt-BR"/>
        </w:rPr>
        <w:t>Implicit association with coresetPoolIndex can be used for those channels/RSs triggered by DCI.</w:t>
      </w:r>
    </w:p>
    <w:p w14:paraId="686BE6C5" w14:textId="77777777" w:rsidR="00AC7967" w:rsidRDefault="00AC7967" w:rsidP="00AC7967">
      <w:pPr>
        <w:pStyle w:val="LGTdoc1"/>
        <w:numPr>
          <w:ilvl w:val="0"/>
          <w:numId w:val="43"/>
        </w:numPr>
        <w:snapToGrid/>
        <w:spacing w:after="0" w:afterAutospacing="0" w:line="360" w:lineRule="auto"/>
        <w:contextualSpacing/>
        <w:rPr>
          <w:sz w:val="24"/>
          <w:szCs w:val="24"/>
          <w:lang w:val="pt-BR"/>
        </w:rPr>
      </w:pPr>
      <w:r>
        <w:rPr>
          <w:sz w:val="24"/>
          <w:szCs w:val="24"/>
          <w:lang w:val="pt-BR"/>
        </w:rPr>
        <w:t>Explicit association is used for other channels/RSs</w:t>
      </w:r>
    </w:p>
    <w:p w14:paraId="0E80FD4B" w14:textId="77777777" w:rsidR="00AC7967" w:rsidRDefault="00AC7967" w:rsidP="00AC7967">
      <w:pPr>
        <w:pStyle w:val="LGTdoc1"/>
        <w:numPr>
          <w:ilvl w:val="1"/>
          <w:numId w:val="43"/>
        </w:numPr>
        <w:snapToGrid/>
        <w:spacing w:after="0" w:afterAutospacing="0" w:line="360" w:lineRule="auto"/>
        <w:contextualSpacing/>
        <w:rPr>
          <w:sz w:val="24"/>
          <w:szCs w:val="24"/>
          <w:lang w:val="pt-BR"/>
        </w:rPr>
      </w:pPr>
      <w:r>
        <w:rPr>
          <w:sz w:val="24"/>
          <w:szCs w:val="24"/>
          <w:lang w:val="pt-BR"/>
        </w:rPr>
        <w:t>For UL channels/RSs, do not directly use coresetPoolIndex for the explicit indicator in order to align design for both S-DCI and M-DCI and for heterogeneous DL/UL configurations(e.g. M=2, N=1)</w:t>
      </w:r>
    </w:p>
    <w:p w14:paraId="0581E50A" w14:textId="77777777" w:rsidR="00AC7967" w:rsidRDefault="00AC7967" w:rsidP="00AC7967">
      <w:pPr>
        <w:pStyle w:val="LGTdoc1"/>
        <w:numPr>
          <w:ilvl w:val="1"/>
          <w:numId w:val="43"/>
        </w:numPr>
        <w:snapToGrid/>
        <w:spacing w:after="0" w:afterAutospacing="0" w:line="360" w:lineRule="auto"/>
        <w:contextualSpacing/>
        <w:rPr>
          <w:sz w:val="24"/>
          <w:szCs w:val="24"/>
          <w:lang w:val="pt-BR"/>
        </w:rPr>
      </w:pPr>
      <w:r>
        <w:rPr>
          <w:sz w:val="24"/>
          <w:szCs w:val="24"/>
          <w:lang w:val="pt-BR"/>
        </w:rPr>
        <w:t xml:space="preserve">For SRS, TCI applicability can be configured per SRS resource group/set or per SRS resource where certain SRS resource(s) can still be configured with legacy spatial relation. </w:t>
      </w:r>
    </w:p>
    <w:p w14:paraId="633C6C59"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 xml:space="preserve">Proposal #4: For M-DCI MTRP, support pre-defined </w:t>
      </w:r>
      <w:r>
        <w:rPr>
          <w:i/>
          <w:sz w:val="24"/>
          <w:szCs w:val="24"/>
          <w:lang w:val="en-US"/>
        </w:rPr>
        <w:t>coresetPoolIndex</w:t>
      </w:r>
      <w:r>
        <w:rPr>
          <w:sz w:val="24"/>
          <w:szCs w:val="24"/>
          <w:lang w:val="en-US"/>
        </w:rPr>
        <w:t xml:space="preserve"> value association for channel(s)/signal(s) that doesn’t have association with a </w:t>
      </w:r>
      <w:r>
        <w:rPr>
          <w:i/>
          <w:sz w:val="24"/>
          <w:szCs w:val="24"/>
          <w:lang w:val="en-US"/>
        </w:rPr>
        <w:t>coresetPoolIndex</w:t>
      </w:r>
      <w:r>
        <w:rPr>
          <w:sz w:val="24"/>
          <w:szCs w:val="24"/>
          <w:lang w:val="en-US"/>
        </w:rPr>
        <w:t xml:space="preserve"> value</w:t>
      </w:r>
    </w:p>
    <w:p w14:paraId="2015899F"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Proposal #5: For TCI state applicability on CSI-RS, consider to extend to per-resource configuration. If per-set configuration is adopted as Rel-17, special handling for NCJT CSI needs to be considered.</w:t>
      </w:r>
    </w:p>
    <w:p w14:paraId="754D52D4"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Proposal #6: For common TCI update for multi-CC with M/N=2, determine the number of indicated TCI states based on the largest M/N value among CCs in a CC list</w:t>
      </w:r>
    </w:p>
    <w:p w14:paraId="326F8674"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 xml:space="preserve">Proposal #7: Support two default UL PC parameter settings configured in </w:t>
      </w:r>
      <w:r>
        <w:rPr>
          <w:i/>
          <w:sz w:val="24"/>
          <w:szCs w:val="24"/>
          <w:lang w:val="en-US"/>
        </w:rPr>
        <w:t>BWP-UplinkDedicated</w:t>
      </w:r>
      <w:r>
        <w:rPr>
          <w:sz w:val="24"/>
          <w:szCs w:val="24"/>
          <w:lang w:val="en-US"/>
        </w:rPr>
        <w:t>, and the UE should apply the one or two default UL PC parameter setting(s) configured in the corresponding UL BWP.</w:t>
      </w:r>
    </w:p>
    <w:p w14:paraId="7B85D84B"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Proposal #8: Consider per panel power control for STxMP transmission by taking maximum Tx power of UE and panel-wise maximum power into account.</w:t>
      </w:r>
    </w:p>
    <w:p w14:paraId="58C7B260"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Proposal #9: Enhanced beam management for simultaneous UL multi-panel transmission should be supported.</w:t>
      </w:r>
    </w:p>
    <w:p w14:paraId="0012F3E8" w14:textId="77777777" w:rsidR="00AC7967" w:rsidRDefault="00AC7967" w:rsidP="00AC7967">
      <w:pPr>
        <w:pStyle w:val="LGTdoc1"/>
        <w:numPr>
          <w:ilvl w:val="0"/>
          <w:numId w:val="44"/>
        </w:numPr>
        <w:snapToGrid/>
        <w:spacing w:after="0" w:afterAutospacing="0" w:line="360" w:lineRule="auto"/>
        <w:contextualSpacing/>
        <w:rPr>
          <w:sz w:val="24"/>
          <w:szCs w:val="24"/>
          <w:lang w:val="en-US"/>
        </w:rPr>
      </w:pPr>
      <w:r>
        <w:rPr>
          <w:sz w:val="24"/>
          <w:szCs w:val="24"/>
          <w:lang w:val="en-US"/>
        </w:rPr>
        <w:t>Enhanced beam report via extending the usage of UE capability value set to homogeneous panels and to report multiple CRI/SSBRI pair with multiple UE capability indices among STxMP capable pairs</w:t>
      </w:r>
    </w:p>
    <w:p w14:paraId="7223B563" w14:textId="77777777" w:rsidR="00AC7967" w:rsidRDefault="00AC7967" w:rsidP="00AC7967">
      <w:pPr>
        <w:pStyle w:val="LGTdoc1"/>
        <w:numPr>
          <w:ilvl w:val="0"/>
          <w:numId w:val="44"/>
        </w:numPr>
        <w:snapToGrid/>
        <w:spacing w:after="0" w:afterAutospacing="0" w:line="360" w:lineRule="auto"/>
        <w:contextualSpacing/>
        <w:rPr>
          <w:sz w:val="24"/>
          <w:szCs w:val="24"/>
          <w:lang w:val="en-US"/>
        </w:rPr>
      </w:pPr>
      <w:r>
        <w:rPr>
          <w:sz w:val="24"/>
          <w:szCs w:val="24"/>
          <w:lang w:val="en-US"/>
        </w:rPr>
        <w:t>Enhanced beam indication based on N&gt;1 UL/joint TCI states, where each UL/joint TCI state corresponds to each UE panel</w:t>
      </w:r>
    </w:p>
    <w:p w14:paraId="5EF29A50" w14:textId="77777777" w:rsidR="00AC7967" w:rsidRDefault="00AC7967" w:rsidP="00AC7967">
      <w:pPr>
        <w:pStyle w:val="LGTdoc1"/>
        <w:snapToGrid/>
        <w:spacing w:after="0" w:afterAutospacing="0" w:line="360" w:lineRule="auto"/>
        <w:contextualSpacing/>
        <w:rPr>
          <w:sz w:val="24"/>
          <w:szCs w:val="24"/>
          <w:lang w:val="en-US"/>
        </w:rPr>
      </w:pPr>
      <w:r>
        <w:rPr>
          <w:sz w:val="24"/>
          <w:szCs w:val="24"/>
          <w:lang w:val="en-US"/>
        </w:rPr>
        <w:t>Proposal #10: For TRP-specific BFD with M=2, the following needs to be considered.</w:t>
      </w:r>
    </w:p>
    <w:p w14:paraId="1C16E693" w14:textId="77777777" w:rsidR="00AC7967" w:rsidRDefault="00AC7967" w:rsidP="00AC7967">
      <w:pPr>
        <w:pStyle w:val="LGTdoc1"/>
        <w:numPr>
          <w:ilvl w:val="0"/>
          <w:numId w:val="45"/>
        </w:numPr>
        <w:snapToGrid/>
        <w:spacing w:after="0" w:afterAutospacing="0" w:line="360" w:lineRule="auto"/>
        <w:contextualSpacing/>
        <w:rPr>
          <w:sz w:val="24"/>
          <w:szCs w:val="24"/>
          <w:lang w:val="en-US"/>
        </w:rPr>
      </w:pPr>
      <w:r>
        <w:rPr>
          <w:sz w:val="24"/>
          <w:szCs w:val="24"/>
          <w:lang w:val="en-US"/>
        </w:rPr>
        <w:lastRenderedPageBreak/>
        <w:t>How to comprise each BFD RS set when some CORESETs do not follow unified TCI for both S-DCI MTRP and M-DCI MTRP</w:t>
      </w:r>
    </w:p>
    <w:p w14:paraId="35986461" w14:textId="77777777" w:rsidR="00AC7967" w:rsidRDefault="00AC7967" w:rsidP="00AC7967">
      <w:pPr>
        <w:pStyle w:val="LGTdoc1"/>
        <w:numPr>
          <w:ilvl w:val="0"/>
          <w:numId w:val="45"/>
        </w:numPr>
        <w:snapToGrid/>
        <w:spacing w:after="0" w:afterAutospacing="0" w:line="360" w:lineRule="auto"/>
        <w:contextualSpacing/>
        <w:rPr>
          <w:sz w:val="24"/>
          <w:szCs w:val="24"/>
          <w:lang w:val="en-US"/>
        </w:rPr>
      </w:pPr>
      <w:r>
        <w:rPr>
          <w:sz w:val="24"/>
          <w:szCs w:val="24"/>
          <w:lang w:val="en-US"/>
        </w:rPr>
        <w:t>Whether/how to modify BFD-RS selection rule for implicit BFD RS determination</w:t>
      </w:r>
    </w:p>
    <w:p w14:paraId="51FFFBFD" w14:textId="77777777" w:rsidR="007F7726" w:rsidRPr="00AC7967" w:rsidRDefault="007F7726" w:rsidP="007F7726">
      <w:pPr>
        <w:pStyle w:val="LGTdoc1"/>
        <w:snapToGrid/>
        <w:spacing w:after="0" w:afterAutospacing="0" w:line="360" w:lineRule="auto"/>
        <w:contextualSpacing/>
        <w:rPr>
          <w:sz w:val="24"/>
          <w:szCs w:val="24"/>
          <w:lang w:val="en-US"/>
        </w:rPr>
      </w:pP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09247BD3" w14:textId="7077F862" w:rsidR="00D9422C"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0D6E55C2" w14:textId="597B8B6B" w:rsidR="00726F92" w:rsidRPr="00C5471D" w:rsidRDefault="00726F92" w:rsidP="00726F92">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Pr>
          <w:rFonts w:ascii="Times New Roman" w:eastAsia="바탕" w:hAnsi="Times New Roman" w:cs="Times New Roman"/>
          <w:snapToGrid w:val="0"/>
          <w:sz w:val="20"/>
          <w:szCs w:val="20"/>
        </w:rPr>
        <w:t>2</w:t>
      </w:r>
      <w:r w:rsidRPr="00475EA3">
        <w:rPr>
          <w:rFonts w:ascii="Times New Roman" w:eastAsia="바탕" w:hAnsi="Times New Roman" w:cs="Times New Roman" w:hint="eastAsia"/>
          <w:snapToGrid w:val="0"/>
          <w:sz w:val="20"/>
          <w:szCs w:val="20"/>
        </w:rPr>
        <w:t xml:space="preserve">] </w:t>
      </w:r>
      <w:r w:rsidRPr="00475EA3">
        <w:rPr>
          <w:rFonts w:ascii="Times New Roman" w:eastAsia="바탕" w:hAnsi="Times New Roman" w:cs="Times New Roman"/>
          <w:snapToGrid w:val="0"/>
          <w:sz w:val="20"/>
          <w:szCs w:val="20"/>
        </w:rPr>
        <w:t>R</w:t>
      </w:r>
      <w:r>
        <w:rPr>
          <w:rFonts w:ascii="Times New Roman" w:eastAsia="바탕" w:hAnsi="Times New Roman" w:cs="Times New Roman"/>
          <w:snapToGrid w:val="0"/>
          <w:sz w:val="20"/>
          <w:szCs w:val="20"/>
        </w:rPr>
        <w:t>4</w:t>
      </w:r>
      <w:r w:rsidRPr="00475EA3">
        <w:rPr>
          <w:rFonts w:ascii="Times New Roman" w:eastAsia="바탕" w:hAnsi="Times New Roman" w:cs="Times New Roman"/>
          <w:snapToGrid w:val="0"/>
          <w:sz w:val="20"/>
          <w:szCs w:val="20"/>
        </w:rPr>
        <w:t>-</w:t>
      </w:r>
      <w:r>
        <w:rPr>
          <w:rFonts w:ascii="Times New Roman" w:eastAsia="바탕" w:hAnsi="Times New Roman" w:cs="Times New Roman"/>
          <w:snapToGrid w:val="0"/>
          <w:sz w:val="20"/>
          <w:szCs w:val="20"/>
        </w:rPr>
        <w:t>2303494</w:t>
      </w:r>
      <w:r w:rsidRPr="00475EA3">
        <w:rPr>
          <w:rFonts w:ascii="Times New Roman" w:eastAsia="바탕" w:hAnsi="Times New Roman" w:cs="Times New Roman"/>
          <w:snapToGrid w:val="0"/>
          <w:sz w:val="20"/>
          <w:szCs w:val="20"/>
        </w:rPr>
        <w:tab/>
      </w:r>
      <w:r>
        <w:rPr>
          <w:rFonts w:ascii="Times New Roman" w:eastAsia="바탕" w:hAnsi="Times New Roman" w:cs="Times New Roman" w:hint="eastAsia"/>
          <w:snapToGrid w:val="0"/>
          <w:sz w:val="20"/>
          <w:szCs w:val="20"/>
        </w:rPr>
        <w:t>Reply LS on UE power limitation for STxMP in FR2</w:t>
      </w:r>
      <w:r>
        <w:rPr>
          <w:rFonts w:ascii="Times New Roman" w:eastAsia="바탕" w:hAnsi="Times New Roman" w:cs="Times New Roman" w:hint="eastAsia"/>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8817A2">
        <w:rPr>
          <w:rFonts w:ascii="Times New Roman" w:eastAsia="바탕" w:hAnsi="Times New Roman" w:cs="Times New Roman"/>
          <w:snapToGrid w:val="0"/>
          <w:sz w:val="20"/>
          <w:szCs w:val="20"/>
        </w:rPr>
        <w:t>vivo</w:t>
      </w:r>
    </w:p>
    <w:p w14:paraId="7DCBC5C0" w14:textId="77777777" w:rsidR="00726F92" w:rsidRPr="00726F92" w:rsidRDefault="00726F92"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p>
    <w:sectPr w:rsidR="00726F92" w:rsidRPr="00726F92"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FE9B1" w14:textId="77777777" w:rsidR="00BB5A46" w:rsidRDefault="00BB5A46" w:rsidP="00C01439">
      <w:r>
        <w:separator/>
      </w:r>
    </w:p>
  </w:endnote>
  <w:endnote w:type="continuationSeparator" w:id="0">
    <w:p w14:paraId="3531E9A2" w14:textId="77777777" w:rsidR="00BB5A46" w:rsidRDefault="00BB5A46"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modern"/>
    <w:pitch w:val="fixed"/>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0714D" w:rsidRPr="00473EE7" w:rsidRDefault="00F071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83A97">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83A97" w:rsidRPr="00183A97">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608E7" w14:textId="77777777" w:rsidR="00BB5A46" w:rsidRDefault="00BB5A46" w:rsidP="00C01439">
      <w:r>
        <w:separator/>
      </w:r>
    </w:p>
  </w:footnote>
  <w:footnote w:type="continuationSeparator" w:id="0">
    <w:p w14:paraId="173D6A5E" w14:textId="77777777" w:rsidR="00BB5A46" w:rsidRDefault="00BB5A46"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6EAA"/>
    <w:multiLevelType w:val="hybridMultilevel"/>
    <w:tmpl w:val="9EB0407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07A65"/>
    <w:multiLevelType w:val="hybridMultilevel"/>
    <w:tmpl w:val="AD32EC62"/>
    <w:lvl w:ilvl="0" w:tplc="0409001B">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7">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A0976B9"/>
    <w:multiLevelType w:val="hybridMultilevel"/>
    <w:tmpl w:val="AF4EE11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4D3678F6">
      <w:start w:val="1"/>
      <w:numFmt w:val="bullet"/>
      <w:lvlText w:val=""/>
      <w:lvlJc w:val="left"/>
      <w:pPr>
        <w:ind w:left="1680" w:hanging="420"/>
      </w:pPr>
      <w:rPr>
        <w:rFonts w:ascii="Symbol" w:hAnsi="Symbol"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4A2FED"/>
    <w:multiLevelType w:val="hybridMultilevel"/>
    <w:tmpl w:val="829C092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42B1BAF"/>
    <w:multiLevelType w:val="hybridMultilevel"/>
    <w:tmpl w:val="3C5ABE4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6">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8C275B6"/>
    <w:multiLevelType w:val="multilevel"/>
    <w:tmpl w:val="40020A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3"/>
  </w:num>
  <w:num w:numId="2">
    <w:abstractNumId w:val="20"/>
  </w:num>
  <w:num w:numId="3">
    <w:abstractNumId w:val="22"/>
  </w:num>
  <w:num w:numId="4">
    <w:abstractNumId w:val="24"/>
  </w:num>
  <w:num w:numId="5">
    <w:abstractNumId w:val="4"/>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8"/>
  </w:num>
  <w:num w:numId="9">
    <w:abstractNumId w:val="12"/>
  </w:num>
  <w:num w:numId="10">
    <w:abstractNumId w:val="19"/>
  </w:num>
  <w:num w:numId="11">
    <w:abstractNumId w:val="13"/>
  </w:num>
  <w:num w:numId="12">
    <w:abstractNumId w:val="5"/>
  </w:num>
  <w:num w:numId="1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7"/>
  </w:num>
  <w:num w:numId="16">
    <w:abstractNumId w:val="21"/>
  </w:num>
  <w:num w:numId="17">
    <w:abstractNumId w:val="6"/>
  </w:num>
  <w:num w:numId="18">
    <w:abstractNumId w:val="16"/>
  </w:num>
  <w:num w:numId="19">
    <w:abstractNumId w:val="8"/>
  </w:num>
  <w:num w:numId="20">
    <w:abstractNumId w:val="13"/>
    <w:lvlOverride w:ilvl="0">
      <w:startOverride w:val="1"/>
    </w:lvlOverride>
    <w:lvlOverride w:ilvl="1"/>
    <w:lvlOverride w:ilvl="2"/>
    <w:lvlOverride w:ilvl="3">
      <w:startOverride w:val="1"/>
    </w:lvlOverride>
    <w:lvlOverride w:ilvl="4"/>
    <w:lvlOverride w:ilvl="5"/>
    <w:lvlOverride w:ilvl="6"/>
    <w:lvlOverride w:ilvl="7"/>
    <w:lvlOverride w:ilvl="8"/>
  </w:num>
  <w:num w:numId="21">
    <w:abstractNumId w:val="8"/>
    <w:lvlOverride w:ilvl="0">
      <w:startOverride w:val="1"/>
    </w:lvlOverride>
    <w:lvlOverride w:ilvl="1"/>
    <w:lvlOverride w:ilvl="2"/>
    <w:lvlOverride w:ilvl="3">
      <w:startOverride w:val="1"/>
    </w:lvlOverride>
    <w:lvlOverride w:ilvl="4"/>
    <w:lvlOverride w:ilvl="5"/>
    <w:lvlOverride w:ilvl="6"/>
    <w:lvlOverride w:ilvl="7"/>
    <w:lvlOverride w:ilvl="8"/>
  </w:num>
  <w:num w:numId="22">
    <w:abstractNumId w:val="15"/>
  </w:num>
  <w:num w:numId="23">
    <w:abstractNumId w:val="11"/>
  </w:num>
  <w:num w:numId="24">
    <w:abstractNumId w:val="3"/>
  </w:num>
  <w:num w:numId="25">
    <w:abstractNumId w:val="26"/>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0"/>
  </w:num>
  <w:num w:numId="37">
    <w:abstractNumId w:val="3"/>
  </w:num>
  <w:num w:numId="38">
    <w:abstractNumId w:val="1"/>
  </w:num>
  <w:num w:numId="39">
    <w:abstractNumId w:val="10"/>
  </w:num>
  <w:num w:numId="40">
    <w:abstractNumId w:val="9"/>
  </w:num>
  <w:num w:numId="41">
    <w:abstractNumId w:val="14"/>
  </w:num>
  <w:num w:numId="42">
    <w:abstractNumId w:val="25"/>
  </w:num>
  <w:num w:numId="43">
    <w:abstractNumId w:val="3"/>
  </w:num>
  <w:num w:numId="44">
    <w:abstractNumId w:val="1"/>
  </w:num>
  <w:num w:numId="4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5FF8"/>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57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8FD"/>
    <w:rsid w:val="00036B2B"/>
    <w:rsid w:val="0003751B"/>
    <w:rsid w:val="000401A6"/>
    <w:rsid w:val="000403FC"/>
    <w:rsid w:val="00041375"/>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9D"/>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25E5"/>
    <w:rsid w:val="00083BAD"/>
    <w:rsid w:val="00083F4B"/>
    <w:rsid w:val="0008416B"/>
    <w:rsid w:val="000846BE"/>
    <w:rsid w:val="00084BC0"/>
    <w:rsid w:val="00085408"/>
    <w:rsid w:val="000866D4"/>
    <w:rsid w:val="00086D9D"/>
    <w:rsid w:val="000871C5"/>
    <w:rsid w:val="00087992"/>
    <w:rsid w:val="00087C04"/>
    <w:rsid w:val="00087D82"/>
    <w:rsid w:val="00087ECE"/>
    <w:rsid w:val="00090513"/>
    <w:rsid w:val="00090E71"/>
    <w:rsid w:val="000917D1"/>
    <w:rsid w:val="00091E4A"/>
    <w:rsid w:val="00092023"/>
    <w:rsid w:val="0009313C"/>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4F2"/>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86A"/>
    <w:rsid w:val="000E1C78"/>
    <w:rsid w:val="000E1E9D"/>
    <w:rsid w:val="000E29B9"/>
    <w:rsid w:val="000E2B3A"/>
    <w:rsid w:val="000E2BD5"/>
    <w:rsid w:val="000E3674"/>
    <w:rsid w:val="000E4090"/>
    <w:rsid w:val="000E451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79C"/>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CA4"/>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152"/>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2F4C"/>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576"/>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A97"/>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5F3A"/>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D8"/>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0BA"/>
    <w:rsid w:val="001F66FE"/>
    <w:rsid w:val="001F6855"/>
    <w:rsid w:val="001F6A76"/>
    <w:rsid w:val="001F7BAA"/>
    <w:rsid w:val="00200284"/>
    <w:rsid w:val="002014BE"/>
    <w:rsid w:val="002015AA"/>
    <w:rsid w:val="002017B3"/>
    <w:rsid w:val="00201DBE"/>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347"/>
    <w:rsid w:val="0023640A"/>
    <w:rsid w:val="002401C1"/>
    <w:rsid w:val="00240D13"/>
    <w:rsid w:val="00240FE1"/>
    <w:rsid w:val="00241174"/>
    <w:rsid w:val="002417EC"/>
    <w:rsid w:val="00241CFA"/>
    <w:rsid w:val="002422C4"/>
    <w:rsid w:val="0024256E"/>
    <w:rsid w:val="002428C6"/>
    <w:rsid w:val="00242EB2"/>
    <w:rsid w:val="00243005"/>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6B7"/>
    <w:rsid w:val="00267EDC"/>
    <w:rsid w:val="002707DA"/>
    <w:rsid w:val="002708F7"/>
    <w:rsid w:val="00270F03"/>
    <w:rsid w:val="00271134"/>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B4E"/>
    <w:rsid w:val="00276F74"/>
    <w:rsid w:val="00277003"/>
    <w:rsid w:val="00277487"/>
    <w:rsid w:val="00277C00"/>
    <w:rsid w:val="00277CB5"/>
    <w:rsid w:val="002800B7"/>
    <w:rsid w:val="002801F1"/>
    <w:rsid w:val="002805C9"/>
    <w:rsid w:val="00281745"/>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A7F36"/>
    <w:rsid w:val="002B0744"/>
    <w:rsid w:val="002B1A9C"/>
    <w:rsid w:val="002B1B24"/>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3598"/>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292"/>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47B9C"/>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482E"/>
    <w:rsid w:val="00384866"/>
    <w:rsid w:val="003850D2"/>
    <w:rsid w:val="0038541C"/>
    <w:rsid w:val="003858A6"/>
    <w:rsid w:val="003863D9"/>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105"/>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57C4"/>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5F8"/>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37B"/>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24E"/>
    <w:rsid w:val="0041431F"/>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4704"/>
    <w:rsid w:val="00434E1A"/>
    <w:rsid w:val="004350D8"/>
    <w:rsid w:val="00435780"/>
    <w:rsid w:val="00435A1D"/>
    <w:rsid w:val="00436110"/>
    <w:rsid w:val="004369B9"/>
    <w:rsid w:val="004373AE"/>
    <w:rsid w:val="004373CE"/>
    <w:rsid w:val="004376AC"/>
    <w:rsid w:val="00437A6A"/>
    <w:rsid w:val="00437B2F"/>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94C"/>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3D61"/>
    <w:rsid w:val="004C463A"/>
    <w:rsid w:val="004C4872"/>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1E17"/>
    <w:rsid w:val="005322A6"/>
    <w:rsid w:val="0053291B"/>
    <w:rsid w:val="00532FFF"/>
    <w:rsid w:val="00533615"/>
    <w:rsid w:val="00533A20"/>
    <w:rsid w:val="00533B48"/>
    <w:rsid w:val="005341B6"/>
    <w:rsid w:val="005342F6"/>
    <w:rsid w:val="00534481"/>
    <w:rsid w:val="00535845"/>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DD5"/>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A6B"/>
    <w:rsid w:val="00571D78"/>
    <w:rsid w:val="00571E91"/>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0E2"/>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90C"/>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827"/>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062"/>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7AA"/>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279AE"/>
    <w:rsid w:val="006303A4"/>
    <w:rsid w:val="006306D3"/>
    <w:rsid w:val="00631832"/>
    <w:rsid w:val="0063194E"/>
    <w:rsid w:val="00631FC4"/>
    <w:rsid w:val="00632691"/>
    <w:rsid w:val="00632768"/>
    <w:rsid w:val="006327E9"/>
    <w:rsid w:val="0063280D"/>
    <w:rsid w:val="00632835"/>
    <w:rsid w:val="00633390"/>
    <w:rsid w:val="00633FBD"/>
    <w:rsid w:val="00634493"/>
    <w:rsid w:val="006346F3"/>
    <w:rsid w:val="00634CAD"/>
    <w:rsid w:val="00635A8E"/>
    <w:rsid w:val="00636245"/>
    <w:rsid w:val="006362BE"/>
    <w:rsid w:val="00636ADE"/>
    <w:rsid w:val="00636C79"/>
    <w:rsid w:val="00637E2D"/>
    <w:rsid w:val="00640195"/>
    <w:rsid w:val="006414BA"/>
    <w:rsid w:val="0064157A"/>
    <w:rsid w:val="00641A21"/>
    <w:rsid w:val="00641BFB"/>
    <w:rsid w:val="006423FB"/>
    <w:rsid w:val="0064281D"/>
    <w:rsid w:val="00642F66"/>
    <w:rsid w:val="00643159"/>
    <w:rsid w:val="00643243"/>
    <w:rsid w:val="00643E8C"/>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58C"/>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40C"/>
    <w:rsid w:val="006A49F9"/>
    <w:rsid w:val="006A4CFA"/>
    <w:rsid w:val="006A5275"/>
    <w:rsid w:val="006A539E"/>
    <w:rsid w:val="006A5582"/>
    <w:rsid w:val="006A5E15"/>
    <w:rsid w:val="006A6BD0"/>
    <w:rsid w:val="006A7A8A"/>
    <w:rsid w:val="006A7D7F"/>
    <w:rsid w:val="006B0336"/>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02BD"/>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2"/>
    <w:rsid w:val="006E25A4"/>
    <w:rsid w:val="006E2D73"/>
    <w:rsid w:val="006E357F"/>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0CE"/>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6F92"/>
    <w:rsid w:val="007279FE"/>
    <w:rsid w:val="00727B13"/>
    <w:rsid w:val="0073017D"/>
    <w:rsid w:val="007305E2"/>
    <w:rsid w:val="00730D7D"/>
    <w:rsid w:val="00730EB1"/>
    <w:rsid w:val="007311E3"/>
    <w:rsid w:val="00731343"/>
    <w:rsid w:val="00731895"/>
    <w:rsid w:val="00731E5E"/>
    <w:rsid w:val="00732091"/>
    <w:rsid w:val="007320D8"/>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9BB"/>
    <w:rsid w:val="007658A2"/>
    <w:rsid w:val="007658D7"/>
    <w:rsid w:val="00765BC2"/>
    <w:rsid w:val="00765F48"/>
    <w:rsid w:val="007660E5"/>
    <w:rsid w:val="00767924"/>
    <w:rsid w:val="00767B2F"/>
    <w:rsid w:val="00767D48"/>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38"/>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653A"/>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605"/>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2ADD"/>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7F7726"/>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3BE"/>
    <w:rsid w:val="00812921"/>
    <w:rsid w:val="0081297A"/>
    <w:rsid w:val="00812EBD"/>
    <w:rsid w:val="00813070"/>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27CA1"/>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59FF"/>
    <w:rsid w:val="00866F9A"/>
    <w:rsid w:val="00867030"/>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7A2"/>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59B5"/>
    <w:rsid w:val="008B60CE"/>
    <w:rsid w:val="008B6260"/>
    <w:rsid w:val="008B64F9"/>
    <w:rsid w:val="008B6542"/>
    <w:rsid w:val="008B6586"/>
    <w:rsid w:val="008B7AD7"/>
    <w:rsid w:val="008C043A"/>
    <w:rsid w:val="008C0720"/>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BC0"/>
    <w:rsid w:val="008F43E9"/>
    <w:rsid w:val="008F4D90"/>
    <w:rsid w:val="008F5B55"/>
    <w:rsid w:val="008F5F6E"/>
    <w:rsid w:val="008F5FA9"/>
    <w:rsid w:val="008F632B"/>
    <w:rsid w:val="008F6948"/>
    <w:rsid w:val="008F73FA"/>
    <w:rsid w:val="008F7626"/>
    <w:rsid w:val="008F76EC"/>
    <w:rsid w:val="008F78C3"/>
    <w:rsid w:val="008F7D86"/>
    <w:rsid w:val="009003B7"/>
    <w:rsid w:val="009009B1"/>
    <w:rsid w:val="00900B51"/>
    <w:rsid w:val="00900BBB"/>
    <w:rsid w:val="00901D6D"/>
    <w:rsid w:val="00901DAC"/>
    <w:rsid w:val="00902A70"/>
    <w:rsid w:val="0090307B"/>
    <w:rsid w:val="0090396D"/>
    <w:rsid w:val="0090399A"/>
    <w:rsid w:val="009041B3"/>
    <w:rsid w:val="00904F97"/>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6A75"/>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58C"/>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306"/>
    <w:rsid w:val="00980519"/>
    <w:rsid w:val="00980642"/>
    <w:rsid w:val="00981550"/>
    <w:rsid w:val="009821D8"/>
    <w:rsid w:val="00982905"/>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E32"/>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30D"/>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537"/>
    <w:rsid w:val="00A01933"/>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AD1"/>
    <w:rsid w:val="00A21C0C"/>
    <w:rsid w:val="00A21DF7"/>
    <w:rsid w:val="00A21EA8"/>
    <w:rsid w:val="00A22480"/>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8A7"/>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3CFE"/>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39E9"/>
    <w:rsid w:val="00AA425A"/>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8AA"/>
    <w:rsid w:val="00AB3B18"/>
    <w:rsid w:val="00AB3C40"/>
    <w:rsid w:val="00AB4180"/>
    <w:rsid w:val="00AB4325"/>
    <w:rsid w:val="00AB45E5"/>
    <w:rsid w:val="00AB4893"/>
    <w:rsid w:val="00AB48D5"/>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967"/>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24"/>
    <w:rsid w:val="00AE295B"/>
    <w:rsid w:val="00AE3ED4"/>
    <w:rsid w:val="00AE4521"/>
    <w:rsid w:val="00AE4B43"/>
    <w:rsid w:val="00AE4B55"/>
    <w:rsid w:val="00AE4FFA"/>
    <w:rsid w:val="00AE539B"/>
    <w:rsid w:val="00AE5959"/>
    <w:rsid w:val="00AE6220"/>
    <w:rsid w:val="00AE6AC6"/>
    <w:rsid w:val="00AE71AE"/>
    <w:rsid w:val="00AE7872"/>
    <w:rsid w:val="00AE7D4D"/>
    <w:rsid w:val="00AF19AA"/>
    <w:rsid w:val="00AF1BA5"/>
    <w:rsid w:val="00AF237C"/>
    <w:rsid w:val="00AF284E"/>
    <w:rsid w:val="00AF299E"/>
    <w:rsid w:val="00AF2DF5"/>
    <w:rsid w:val="00AF316F"/>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6719"/>
    <w:rsid w:val="00B07308"/>
    <w:rsid w:val="00B07623"/>
    <w:rsid w:val="00B07E2B"/>
    <w:rsid w:val="00B1014A"/>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6F5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3BF"/>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A38"/>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0FBD"/>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5B3"/>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4EF"/>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5D85"/>
    <w:rsid w:val="00BA6454"/>
    <w:rsid w:val="00BA6C2F"/>
    <w:rsid w:val="00BA6C34"/>
    <w:rsid w:val="00BA7137"/>
    <w:rsid w:val="00BA7934"/>
    <w:rsid w:val="00BA7DB0"/>
    <w:rsid w:val="00BB0569"/>
    <w:rsid w:val="00BB148F"/>
    <w:rsid w:val="00BB1492"/>
    <w:rsid w:val="00BB17BB"/>
    <w:rsid w:val="00BB1873"/>
    <w:rsid w:val="00BB1A55"/>
    <w:rsid w:val="00BB1BF8"/>
    <w:rsid w:val="00BB1CA2"/>
    <w:rsid w:val="00BB1E08"/>
    <w:rsid w:val="00BB2579"/>
    <w:rsid w:val="00BB2590"/>
    <w:rsid w:val="00BB3896"/>
    <w:rsid w:val="00BB3B4F"/>
    <w:rsid w:val="00BB3BB5"/>
    <w:rsid w:val="00BB3C33"/>
    <w:rsid w:val="00BB40C8"/>
    <w:rsid w:val="00BB46AA"/>
    <w:rsid w:val="00BB56A7"/>
    <w:rsid w:val="00BB5A46"/>
    <w:rsid w:val="00BB5D9E"/>
    <w:rsid w:val="00BB5FE1"/>
    <w:rsid w:val="00BB6677"/>
    <w:rsid w:val="00BB674E"/>
    <w:rsid w:val="00BB69EC"/>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092"/>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1D"/>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48D"/>
    <w:rsid w:val="00C70549"/>
    <w:rsid w:val="00C70CD1"/>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6BF"/>
    <w:rsid w:val="00C82CCD"/>
    <w:rsid w:val="00C82E37"/>
    <w:rsid w:val="00C83148"/>
    <w:rsid w:val="00C83697"/>
    <w:rsid w:val="00C83A74"/>
    <w:rsid w:val="00C83D04"/>
    <w:rsid w:val="00C83D71"/>
    <w:rsid w:val="00C8420C"/>
    <w:rsid w:val="00C858F0"/>
    <w:rsid w:val="00C86166"/>
    <w:rsid w:val="00C8652D"/>
    <w:rsid w:val="00C86B71"/>
    <w:rsid w:val="00C86FB2"/>
    <w:rsid w:val="00C876F1"/>
    <w:rsid w:val="00C87889"/>
    <w:rsid w:val="00C87C7D"/>
    <w:rsid w:val="00C90006"/>
    <w:rsid w:val="00C90449"/>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3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A43"/>
    <w:rsid w:val="00CC2E08"/>
    <w:rsid w:val="00CC2F2D"/>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75E"/>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C68"/>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32C"/>
    <w:rsid w:val="00D07F15"/>
    <w:rsid w:val="00D10A59"/>
    <w:rsid w:val="00D10B96"/>
    <w:rsid w:val="00D11153"/>
    <w:rsid w:val="00D113AA"/>
    <w:rsid w:val="00D11607"/>
    <w:rsid w:val="00D11666"/>
    <w:rsid w:val="00D118E2"/>
    <w:rsid w:val="00D11A17"/>
    <w:rsid w:val="00D1212B"/>
    <w:rsid w:val="00D122A0"/>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434"/>
    <w:rsid w:val="00D16936"/>
    <w:rsid w:val="00D1734E"/>
    <w:rsid w:val="00D173D7"/>
    <w:rsid w:val="00D173FB"/>
    <w:rsid w:val="00D176A0"/>
    <w:rsid w:val="00D17DCE"/>
    <w:rsid w:val="00D20682"/>
    <w:rsid w:val="00D20A68"/>
    <w:rsid w:val="00D21460"/>
    <w:rsid w:val="00D22A6F"/>
    <w:rsid w:val="00D2438C"/>
    <w:rsid w:val="00D2462C"/>
    <w:rsid w:val="00D24873"/>
    <w:rsid w:val="00D2496E"/>
    <w:rsid w:val="00D259DC"/>
    <w:rsid w:val="00D25B6E"/>
    <w:rsid w:val="00D26B24"/>
    <w:rsid w:val="00D274BF"/>
    <w:rsid w:val="00D302CD"/>
    <w:rsid w:val="00D316EE"/>
    <w:rsid w:val="00D318AF"/>
    <w:rsid w:val="00D31929"/>
    <w:rsid w:val="00D31BCA"/>
    <w:rsid w:val="00D324B2"/>
    <w:rsid w:val="00D32970"/>
    <w:rsid w:val="00D32997"/>
    <w:rsid w:val="00D32A50"/>
    <w:rsid w:val="00D335DE"/>
    <w:rsid w:val="00D335EF"/>
    <w:rsid w:val="00D336D1"/>
    <w:rsid w:val="00D34EEB"/>
    <w:rsid w:val="00D34FB1"/>
    <w:rsid w:val="00D35734"/>
    <w:rsid w:val="00D35D5B"/>
    <w:rsid w:val="00D367DD"/>
    <w:rsid w:val="00D36AF0"/>
    <w:rsid w:val="00D36B0C"/>
    <w:rsid w:val="00D36F79"/>
    <w:rsid w:val="00D3721E"/>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57DC8"/>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53D"/>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041"/>
    <w:rsid w:val="00E16355"/>
    <w:rsid w:val="00E166A0"/>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88B"/>
    <w:rsid w:val="00E26FB4"/>
    <w:rsid w:val="00E2769D"/>
    <w:rsid w:val="00E27DAC"/>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91F"/>
    <w:rsid w:val="00E40BCC"/>
    <w:rsid w:val="00E40DDB"/>
    <w:rsid w:val="00E410AF"/>
    <w:rsid w:val="00E41994"/>
    <w:rsid w:val="00E41AB3"/>
    <w:rsid w:val="00E41C41"/>
    <w:rsid w:val="00E426A4"/>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07E0"/>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5B4"/>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B03"/>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3A0B"/>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14D"/>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2E69"/>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19E"/>
    <w:rsid w:val="00F625D6"/>
    <w:rsid w:val="00F645D4"/>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76D"/>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351"/>
    <w:rsid w:val="00FB5BA3"/>
    <w:rsid w:val="00FB5C67"/>
    <w:rsid w:val="00FB5ED2"/>
    <w:rsid w:val="00FB6A7D"/>
    <w:rsid w:val="00FB7B00"/>
    <w:rsid w:val="00FC0290"/>
    <w:rsid w:val="00FC086F"/>
    <w:rsid w:val="00FC11EA"/>
    <w:rsid w:val="00FC1709"/>
    <w:rsid w:val="00FC2555"/>
    <w:rsid w:val="00FC296F"/>
    <w:rsid w:val="00FC38BC"/>
    <w:rsid w:val="00FC45E4"/>
    <w:rsid w:val="00FC48D6"/>
    <w:rsid w:val="00FC4B22"/>
    <w:rsid w:val="00FC4D19"/>
    <w:rsid w:val="00FC5984"/>
    <w:rsid w:val="00FC6146"/>
    <w:rsid w:val="00FC6200"/>
    <w:rsid w:val="00FC6C52"/>
    <w:rsid w:val="00FC71BE"/>
    <w:rsid w:val="00FC77B0"/>
    <w:rsid w:val="00FC7C48"/>
    <w:rsid w:val="00FD0635"/>
    <w:rsid w:val="00FD1ABB"/>
    <w:rsid w:val="00FD208C"/>
    <w:rsid w:val="00FD25F6"/>
    <w:rsid w:val="00FD2E97"/>
    <w:rsid w:val="00FD30FB"/>
    <w:rsid w:val="00FD32BD"/>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134D908-5949-48FB-A960-2B0B6DC3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character" w:customStyle="1" w:styleId="Char10">
    <w:name w:val="목록 단락 Char1"/>
    <w:aliases w:val="- Bullets Char1,?? ?? Char1,????? Char1,???? Char1,Lista1 Char1,中等深浅网格 1 - 着色 21 Char1,列出段落1 Char1,¥¡¡¡¡ì¬º¥¹¥È¶ÎÂä Char1,ÁÐ³ö¶ÎÂä Char1,¥ê¥¹¥È¶ÎÂä Char1,列表段落1 Char1,—ño’i—Ž Char1,1st level - Bullet List Paragraph Char1,Normal bullet 2 Char"/>
    <w:basedOn w:val="a0"/>
    <w:uiPriority w:val="34"/>
    <w:qFormat/>
    <w:rsid w:val="00D57DC8"/>
    <w:rPr>
      <w:rFonts w:ascii="Arial" w:eastAsia="바탕"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9399819">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870637">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629067">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14B95-42E1-49E7-BC34-36A186D16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4596</Words>
  <Characters>26200</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30735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정재훈/선임연구원/미래기술센터 C&amp;M표준(연)5G무선통신표준Task(jhoon.chung@lge.com)</cp:lastModifiedBy>
  <cp:revision>2</cp:revision>
  <cp:lastPrinted>2019-08-16T06:32:00Z</cp:lastPrinted>
  <dcterms:created xsi:type="dcterms:W3CDTF">2023-04-07T06:51:00Z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